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C55E1CF" wp14:paraId="4E47C1E7" wp14:textId="6AB4B799">
      <w:pPr>
        <w:rPr>
          <w:b w:val="1"/>
          <w:bCs w:val="1"/>
          <w:sz w:val="32"/>
          <w:szCs w:val="32"/>
          <w:u w:val="single"/>
        </w:rPr>
      </w:pPr>
      <w:r w:rsidRPr="4C55E1CF" w:rsidR="4AB1057E">
        <w:rPr>
          <w:b w:val="1"/>
          <w:bCs w:val="1"/>
          <w:sz w:val="36"/>
          <w:szCs w:val="36"/>
          <w:u w:val="single"/>
        </w:rPr>
        <w:t>Cash Pooling</w:t>
      </w:r>
      <w:r w:rsidRPr="4C55E1CF" w:rsidR="025B9DC8">
        <w:rPr>
          <w:b w:val="1"/>
          <w:bCs w:val="1"/>
          <w:sz w:val="32"/>
          <w:szCs w:val="32"/>
          <w:u w:val="single"/>
        </w:rPr>
        <w:t xml:space="preserve"> als Mittel zur Liquiditätsoptimierung</w:t>
      </w:r>
      <w:r w:rsidRPr="4C55E1CF" w:rsidR="4D980468">
        <w:rPr>
          <w:b w:val="1"/>
          <w:bCs w:val="1"/>
          <w:sz w:val="32"/>
          <w:szCs w:val="32"/>
          <w:u w:val="single"/>
        </w:rPr>
        <w:t xml:space="preserve"> für die Holding</w:t>
      </w:r>
    </w:p>
    <w:p w:rsidR="118C55BC" w:rsidP="4C55E1CF" w:rsidRDefault="118C55BC" w14:paraId="7B6B19BC" w14:textId="76A5C199">
      <w:pPr>
        <w:pStyle w:val="Normal"/>
        <w:rPr>
          <w:rFonts w:ascii="Aptos" w:hAnsi="Aptos" w:eastAsia="Aptos" w:cs="Aptos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025B9DC8">
        <w:rPr>
          <w:rFonts w:ascii="Aptos" w:hAnsi="Aptos" w:eastAsia="Aptos" w:cs="Aptos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  <w:t>Der gedankliche Ansatz</w:t>
      </w:r>
    </w:p>
    <w:p w:rsidR="118C55BC" w:rsidP="4A2D4C26" w:rsidRDefault="118C55BC" w14:paraId="267DF366" w14:textId="4124F37D">
      <w:pPr>
        <w:pStyle w:val="Normal"/>
        <w:rPr>
          <w:rFonts w:ascii="Aptos" w:hAnsi="Aptos" w:eastAsia="Aptos" w:cs="Aptos"/>
          <w:noProof w:val="0"/>
          <w:sz w:val="24"/>
          <w:szCs w:val="24"/>
          <w:lang w:val="de-DE"/>
        </w:rPr>
      </w:pPr>
      <w:r w:rsidRPr="4A2D4C26" w:rsidR="118C55BC">
        <w:rPr>
          <w:rFonts w:ascii="Aptos" w:hAnsi="Aptos" w:eastAsia="Aptos" w:cs="Aptos"/>
          <w:noProof w:val="0"/>
          <w:sz w:val="24"/>
          <w:szCs w:val="24"/>
          <w:lang w:val="de-DE"/>
        </w:rPr>
        <w:t>Gewinne zwischen der Operativ-GmbH und der Holding dank einer Cash-Pooling-Vereinbarung unterjährig zu transferieren, anstatt bis zum Jahresabschluss zu warten.</w:t>
      </w:r>
    </w:p>
    <w:p w:rsidR="118C55BC" w:rsidP="4C55E1CF" w:rsidRDefault="118C55BC" w14:paraId="011212CE" w14:textId="5ED126BB">
      <w:pPr>
        <w:pStyle w:val="Normal"/>
        <w:rPr>
          <w:rFonts w:ascii="Aptos" w:hAnsi="Aptos" w:eastAsia="Aptos" w:cs="Aptos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025B9DC8">
        <w:rPr>
          <w:rFonts w:ascii="Aptos" w:hAnsi="Aptos" w:eastAsia="Aptos" w:cs="Aptos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  <w:t>Definition</w:t>
      </w:r>
    </w:p>
    <w:p w:rsidR="532179A3" w:rsidP="4A2D4C26" w:rsidRDefault="532179A3" w14:paraId="49B94432" w14:textId="058CBB6E">
      <w:pPr>
        <w:pStyle w:val="Normal"/>
        <w:rPr>
          <w:rFonts w:ascii="Aptos" w:hAnsi="Aptos" w:eastAsia="Aptos" w:cs="Aptos"/>
          <w:noProof w:val="0"/>
          <w:sz w:val="24"/>
          <w:szCs w:val="24"/>
          <w:lang w:val="de-DE"/>
        </w:rPr>
      </w:pPr>
      <w:r w:rsidRPr="4C55E1CF" w:rsidR="1E7B41F8">
        <w:rPr>
          <w:rFonts w:ascii="Aptos" w:hAnsi="Aptos" w:eastAsia="Aptos" w:cs="Aptos"/>
          <w:b w:val="1"/>
          <w:bCs w:val="1"/>
          <w:i w:val="1"/>
          <w:iCs w:val="1"/>
          <w:noProof w:val="0"/>
          <w:sz w:val="28"/>
          <w:szCs w:val="28"/>
          <w:lang w:val="de-DE"/>
        </w:rPr>
        <w:t>Cash Pooling</w:t>
      </w:r>
      <w:r w:rsidRPr="4C55E1CF" w:rsidR="1E7B41F8">
        <w:rPr>
          <w:rFonts w:ascii="Aptos" w:hAnsi="Aptos" w:eastAsia="Aptos" w:cs="Aptos"/>
          <w:noProof w:val="0"/>
          <w:sz w:val="24"/>
          <w:szCs w:val="24"/>
          <w:lang w:val="de-DE"/>
        </w:rPr>
        <w:t xml:space="preserve"> 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ist eine Technik 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des </w:t>
      </w:r>
      <w:r w:rsidRPr="4C55E1CF" w:rsidR="5311D1A7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de-DE"/>
        </w:rPr>
        <w:t>Treasury</w:t>
      </w:r>
      <w:r w:rsidRPr="4C55E1CF" w:rsidR="08F8F18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de-DE"/>
        </w:rPr>
        <w:t xml:space="preserve"> </w:t>
      </w:r>
      <w:r w:rsidRPr="4C55E1CF" w:rsidR="08F8F186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>(=</w:t>
      </w:r>
      <w:r w:rsidRPr="4C55E1CF" w:rsidR="08F8F186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>Finanz)</w:t>
      </w:r>
      <w:r w:rsidRPr="4C55E1CF" w:rsidR="5311D1A7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de-DE"/>
        </w:rPr>
        <w:t>-</w:t>
      </w:r>
      <w:r w:rsidRPr="4C55E1CF" w:rsidR="5311D1A7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de-DE"/>
        </w:rPr>
        <w:t>Managements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>,  um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die Liquidität</w:t>
      </w:r>
      <w:r w:rsidRPr="4C55E1CF" w:rsidR="4995B813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r w:rsidRPr="4C55E1CF" w:rsidR="3FD8499B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durch eine Bündelung </w:t>
      </w:r>
      <w:r w:rsidRPr="4C55E1CF" w:rsidR="4995B813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>innerhalb einer Unternehmensgruppe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zentral zu steuern. </w:t>
      </w:r>
      <w:r w:rsidRPr="4C55E1CF" w:rsidR="0C5248D4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Dabei werden die Guthaben und Sollsalden der einzelnen Konzerngesellschaften zusammengeführt.</w:t>
      </w:r>
    </w:p>
    <w:p w:rsidR="03F8A88C" w:rsidP="4C55E1CF" w:rsidRDefault="03F8A88C" w14:paraId="2D4C60A1" w14:textId="203868A7">
      <w:pPr>
        <w:pStyle w:val="Normal"/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</w:pPr>
      <w:r w:rsidRPr="4C55E1CF" w:rsidR="5311D1A7"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4"/>
          <w:szCs w:val="24"/>
          <w:u w:val="single"/>
          <w:lang w:val="de-DE"/>
        </w:rPr>
        <w:t>Ziel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ist es, </w:t>
      </w:r>
      <w:r w:rsidRPr="4C55E1CF" w:rsidR="5311D1A7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de-DE"/>
        </w:rPr>
        <w:t>Überschüsse und Defizite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zwischen Konzerngesellschaften 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auszugleichen, </w:t>
      </w:r>
      <w:r w:rsidRPr="4C55E1CF" w:rsidR="66CBF734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>Zinskosten</w:t>
      </w:r>
      <w:r w:rsidRPr="4C55E1CF" w:rsidR="5311D1A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zu senken und die Zahlungsfähigkeit sicherzustellen</w:t>
      </w:r>
      <w:r w:rsidRPr="4C55E1CF" w:rsidR="0E505037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, und damit </w:t>
      </w:r>
      <w:r w:rsidRPr="4C55E1CF" w:rsidR="0E50503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1D35"/>
          <w:sz w:val="24"/>
          <w:szCs w:val="24"/>
          <w:lang w:val="de-DE"/>
        </w:rPr>
        <w:t>den Finanzmittelbedarf zu optimieren.</w:t>
      </w:r>
    </w:p>
    <w:p w:rsidR="4A2D4C26" w:rsidP="4A2D4C26" w:rsidRDefault="4A2D4C26" w14:paraId="42B9E55D" w14:textId="7CFEF4AD">
      <w:pPr>
        <w:pStyle w:val="Normal"/>
        <w:spacing w:before="0" w:beforeAutospacing="off" w:after="0" w:afterAutospacing="off" w:line="30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1D35"/>
          <w:sz w:val="24"/>
          <w:szCs w:val="24"/>
          <w:lang w:val="de-DE"/>
        </w:rPr>
      </w:pPr>
    </w:p>
    <w:p w:rsidR="29EBA85E" w:rsidP="4C55E1CF" w:rsidRDefault="29EBA85E" w14:paraId="16E67515" w14:textId="5708037F">
      <w:pPr>
        <w:shd w:val="clear" w:color="auto" w:fill="FFFFFF" w:themeFill="background1"/>
        <w:spacing w:before="300" w:beforeAutospacing="off" w:after="150" w:afterAutospacing="off" w:line="42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40ACB555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F4761" w:themeColor="accent1" w:themeTint="FF" w:themeShade="BF"/>
          <w:sz w:val="28"/>
          <w:szCs w:val="28"/>
          <w:lang w:val="de-DE"/>
        </w:rPr>
        <w:t>Funktionsweise</w:t>
      </w:r>
    </w:p>
    <w:p w:rsidR="29EBA85E" w:rsidP="4A2D4C26" w:rsidRDefault="29EBA85E" w14:paraId="699D7FC7" w14:textId="574AE7E6">
      <w:pPr>
        <w:pStyle w:val="ListParagraph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29EBA85E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Kontenabgleich:</w:t>
      </w:r>
      <w:r w:rsidRPr="4A2D4C26" w:rsidR="29EBA85E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Die täglichen Salden der einzelnen Unternehmenskonten werden konsolidiert.</w:t>
      </w:r>
    </w:p>
    <w:p w:rsidR="29EBA85E" w:rsidP="4A2D4C26" w:rsidRDefault="29EBA85E" w14:paraId="781F8B2E" w14:textId="02F7CDF0">
      <w:pPr>
        <w:pStyle w:val="ListParagraph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29EBA85E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Zentrales Masterkonto:</w:t>
      </w:r>
      <w:r w:rsidRPr="4A2D4C26" w:rsidR="29EBA85E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Die gesamte Liquidität fließt auf ein zentrales Konto, das von einer Holding oder einer zentralen Finanzgesellschaft verwaltet wird.</w:t>
      </w:r>
    </w:p>
    <w:p w:rsidR="29EBA85E" w:rsidP="4A2D4C26" w:rsidRDefault="29EBA85E" w14:paraId="6C98AD66" w14:textId="377E424E">
      <w:pPr>
        <w:pStyle w:val="ListParagraph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29EBA85E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Liquiditätsausgleich:</w:t>
      </w:r>
      <w:r w:rsidRPr="4A2D4C26" w:rsidR="29EBA85E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Wenn eine Tochtergesellschaft Kapital benötigt, wird es aus dem Pool entnommen. Überschüssige Liquidität kann stattdessen gewinnbringend angelegt werden.</w:t>
      </w:r>
    </w:p>
    <w:p w:rsidR="29EBA85E" w:rsidP="4A2D4C26" w:rsidRDefault="29EBA85E" w14:paraId="40F48EB9" w14:textId="6FE6FC8D">
      <w:pPr>
        <w:pStyle w:val="ListParagraph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29EBA85E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Zinsoptimierung:</w:t>
      </w:r>
      <w:r w:rsidRPr="4A2D4C26" w:rsidR="29EBA85E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Durch die Bündelung können unnötige Sollzinsen bei einzelnen Gesellschaften vermieden und Zinsüberschüsse genutzt werden.</w:t>
      </w:r>
    </w:p>
    <w:p w:rsidR="4A2D4C26" w:rsidP="4A2D4C26" w:rsidRDefault="4A2D4C26" w14:paraId="3C3BE648" w14:textId="4EA3378D">
      <w:pPr>
        <w:pStyle w:val="Normal"/>
        <w:spacing w:before="0" w:beforeAutospacing="off" w:after="0" w:afterAutospacing="off" w:line="30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1D35"/>
          <w:sz w:val="24"/>
          <w:szCs w:val="24"/>
          <w:lang w:val="de-DE"/>
        </w:rPr>
      </w:pPr>
    </w:p>
    <w:p w:rsidR="1A90330D" w:rsidP="4C55E1CF" w:rsidRDefault="1A90330D" w14:paraId="3977A108" w14:textId="1EF9CC39">
      <w:pPr>
        <w:spacing w:before="300" w:beforeAutospacing="off" w:after="150" w:afterAutospacing="off" w:line="42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0B464C4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F4761" w:themeColor="accent1" w:themeTint="FF" w:themeShade="BF"/>
          <w:sz w:val="28"/>
          <w:szCs w:val="28"/>
          <w:lang w:val="de-DE"/>
        </w:rPr>
        <w:t>Vorteile</w:t>
      </w:r>
    </w:p>
    <w:p w:rsidR="1A90330D" w:rsidP="4A2D4C26" w:rsidRDefault="1A90330D" w14:paraId="692681F1" w14:textId="5852E771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1A90330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Optimierung der Liquidität: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Effektivere Steuerung der Finanzmittel über den gesamten Konzern 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hinweg.</w:t>
      </w:r>
    </w:p>
    <w:p w:rsidR="54AE80AC" w:rsidP="4A2D4C26" w:rsidRDefault="54AE80AC" w14:paraId="3AF8237B" w14:textId="46E3843E">
      <w:pPr>
        <w:pStyle w:val="Normal"/>
        <w:spacing w:before="0" w:beforeAutospacing="off" w:after="0" w:afterAutospacing="off" w:line="360" w:lineRule="auto"/>
        <w:ind w:left="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  <w:r w:rsidRPr="4A2D4C26" w:rsidR="54AE80AC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Optimierung des Liquiditätsmanagements hinsichtlich aller nationalen und internationalen </w:t>
      </w:r>
      <w:r>
        <w:tab/>
      </w:r>
      <w:r>
        <w:tab/>
      </w:r>
      <w:r>
        <w:tab/>
      </w:r>
      <w:r w:rsidRPr="4A2D4C26" w:rsidR="54AE80AC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>Konzerngesellschaften.</w:t>
      </w:r>
    </w:p>
    <w:p w:rsidR="4A2D4C26" w:rsidP="4A2D4C26" w:rsidRDefault="4A2D4C26" w14:paraId="1258F386" w14:textId="390F8C18">
      <w:pPr>
        <w:pStyle w:val="Normal"/>
        <w:spacing w:before="0" w:beforeAutospacing="off" w:after="0" w:afterAutospacing="off" w:line="360" w:lineRule="auto"/>
        <w:ind w:left="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</w:p>
    <w:p w:rsidR="1A90330D" w:rsidP="4A2D4C26" w:rsidRDefault="1A90330D" w14:paraId="5348A62E" w14:textId="08BEA70C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  <w:r w:rsidRPr="4A2D4C26" w:rsidR="1A90330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Kostensenkung: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Reduzierung von Zinsaufwendungen und 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Bankgebühren.</w:t>
      </w:r>
      <w:r w:rsidRPr="4A2D4C26" w:rsidR="451374F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</w:t>
      </w:r>
    </w:p>
    <w:p w:rsidR="03C1A4E8" w:rsidP="4A2D4C26" w:rsidRDefault="03C1A4E8" w14:paraId="3A707335" w14:textId="506CDD1B">
      <w:pPr>
        <w:pStyle w:val="Normal"/>
        <w:spacing w:before="0" w:beforeAutospacing="off" w:after="0" w:afterAutospacing="off" w:line="360" w:lineRule="auto"/>
        <w:ind w:left="12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  <w:r w:rsidRPr="4A2D4C26" w:rsidR="03C1A4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-- </w:t>
      </w:r>
      <w:r w:rsidRPr="4A2D4C26" w:rsidR="451374FF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Optimierung der Zinssituation durch Vermeidung von Sollzinsen. Dezentrale Sollzinsen erzeugen hohe </w:t>
      </w:r>
      <w:r>
        <w:tab/>
      </w:r>
      <w:r w:rsidRPr="4A2D4C26" w:rsidR="451374FF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>Beträge, wogegen dezentrale Zinsguthaben kaum Zinserträge erzielen.</w:t>
      </w:r>
    </w:p>
    <w:p w:rsidR="64951B6A" w:rsidP="4A2D4C26" w:rsidRDefault="64951B6A" w14:paraId="186FADFE" w14:textId="63194803">
      <w:pPr>
        <w:spacing w:before="0" w:beforeAutospacing="off" w:after="0" w:afterAutospacing="off"/>
        <w:ind w:left="0" w:right="-18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  <w:r w:rsidRPr="4A2D4C26" w:rsidR="64951B6A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-- </w:t>
      </w:r>
      <w:r w:rsidRPr="4A2D4C26" w:rsidR="2593BF4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Steht eine externe Kreditaufnahme für den Cash Pool an, so bietet dieser in der Regel deutlich bessere </w:t>
      </w:r>
      <w:r>
        <w:tab/>
      </w:r>
      <w:r>
        <w:tab/>
      </w:r>
      <w:r w:rsidRPr="4A2D4C26" w:rsidR="2593BF4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>Konditionen bzw. niedrigere Zinsen als vielfach auf dezentraler Ebene.</w:t>
      </w:r>
    </w:p>
    <w:p w:rsidR="31E87E82" w:rsidP="4A2D4C26" w:rsidRDefault="31E87E82" w14:paraId="0C0E2420" w14:textId="4AD7B125">
      <w:pPr>
        <w:spacing w:before="0" w:beforeAutospacing="off" w:after="0" w:afterAutospacing="off"/>
        <w:ind w:left="0" w:right="-18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  <w:r w:rsidRPr="4A2D4C26" w:rsidR="31E87E8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-- </w:t>
      </w:r>
      <w:r w:rsidRPr="4A2D4C26" w:rsidR="2593BF4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Konzernunternehmen (Pool-Teilnehmer) können sich kurzfristig Kapital beschaffen. Die Höhe der Zinsen </w:t>
      </w:r>
      <w:r>
        <w:tab/>
      </w:r>
      <w:r w:rsidRPr="4A2D4C26" w:rsidR="2593BF4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wird </w:t>
      </w:r>
      <w:r w:rsidRPr="4A2D4C26" w:rsidR="2593BF4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>intern definiert.</w:t>
      </w:r>
    </w:p>
    <w:p w:rsidR="4A2D4C26" w:rsidP="4A2D4C26" w:rsidRDefault="4A2D4C26" w14:paraId="06F65095" w14:textId="449FCDC7">
      <w:pPr>
        <w:spacing w:before="0" w:beforeAutospacing="off" w:after="0" w:afterAutospacing="off"/>
        <w:ind w:left="0" w:right="-18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</w:p>
    <w:p w:rsidR="1A90330D" w:rsidP="4A2D4C26" w:rsidRDefault="1A90330D" w14:paraId="17DFD7B7" w14:textId="7B2FC998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1A90330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Effizienterer Einsatz von Kapital: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Überschüsse können gewinnbringend eingesetzt werden, anstatt auf vielen verschiedenen Konten zu liegen. </w:t>
      </w:r>
    </w:p>
    <w:p w:rsidR="0BBD7367" w:rsidP="4A2D4C26" w:rsidRDefault="0BBD7367" w14:paraId="6FEA6A21" w14:textId="053A5695">
      <w:pPr>
        <w:spacing w:before="0" w:beforeAutospacing="off" w:after="0" w:afterAutospacing="off"/>
        <w:ind w:left="0" w:right="-18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  <w:r w:rsidRPr="4A2D4C26" w:rsidR="0BBD736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 xml:space="preserve">-- Konzernunternehmen (Pool-Teilnehmer) können sich kurzfristig Kapital beschaffen. Die Höhe der Zinsen </w:t>
      </w:r>
      <w:r>
        <w:tab/>
      </w:r>
      <w:r w:rsidRPr="4A2D4C26" w:rsidR="0BBD736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  <w:t>wird intern definiert.</w:t>
      </w:r>
    </w:p>
    <w:p w:rsidR="4A2D4C26" w:rsidP="4A2D4C26" w:rsidRDefault="4A2D4C26" w14:paraId="313B99B8" w14:textId="4303CF2B">
      <w:pPr>
        <w:spacing w:before="0" w:beforeAutospacing="off" w:after="0" w:afterAutospacing="off"/>
        <w:ind w:left="0" w:right="-180" w:firstLine="70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0"/>
          <w:szCs w:val="20"/>
          <w:lang w:val="de-DE"/>
        </w:rPr>
      </w:pPr>
    </w:p>
    <w:p w:rsidR="4307C3A2" w:rsidP="4A2D4C26" w:rsidRDefault="4307C3A2" w14:paraId="17DB4201" w14:textId="687ACC27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4307C3A2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Verbesserte Transparenz:</w:t>
      </w:r>
      <w:r w:rsidRPr="4A2D4C26" w:rsidR="4307C3A2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Bessere Übersicht über die konzernweite Finanzlage.</w:t>
      </w:r>
    </w:p>
    <w:p w:rsidR="4A2D4C26" w:rsidP="4A2D4C26" w:rsidRDefault="4A2D4C26" w14:paraId="6DF30542" w14:textId="48297960">
      <w:pPr>
        <w:pStyle w:val="ListParagraph"/>
        <w:spacing w:before="0" w:beforeAutospacing="off" w:after="0" w:afterAutospacing="off" w:line="360" w:lineRule="auto"/>
        <w:ind w:left="72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1A90330D" w:rsidP="4C55E1CF" w:rsidRDefault="1A90330D" w14:paraId="5784E91B" w14:textId="334EF5F9">
      <w:pPr>
        <w:spacing w:before="300" w:beforeAutospacing="off" w:after="150" w:afterAutospacing="off" w:line="42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0B464C4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F4761" w:themeColor="accent1" w:themeTint="FF" w:themeShade="BF"/>
          <w:sz w:val="28"/>
          <w:szCs w:val="28"/>
          <w:lang w:val="de-DE"/>
        </w:rPr>
        <w:t>Nachteile und Besonderheiten</w:t>
      </w:r>
    </w:p>
    <w:p w:rsidR="1A90330D" w:rsidP="4A2D4C26" w:rsidRDefault="1A90330D" w14:paraId="7DE685C5" w14:textId="35927B86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1A90330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Hohe Implementierungskosten: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Die Einführung</w:t>
      </w:r>
      <w:r w:rsidRPr="4A2D4C26" w:rsidR="63014C2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</w:t>
      </w:r>
      <w:r w:rsidRPr="4A2D4C26" w:rsidR="63014C26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8"/>
          <w:szCs w:val="28"/>
          <w:lang w:val="de-DE"/>
        </w:rPr>
        <w:t xml:space="preserve">eines solches </w:t>
      </w:r>
      <w:r w:rsidRPr="4A2D4C26" w:rsidR="63014C26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8"/>
          <w:szCs w:val="28"/>
          <w:lang w:val="de-DE"/>
        </w:rPr>
        <w:t>Finanzmanagements</w:t>
      </w:r>
      <w:r w:rsidRPr="4A2D4C26" w:rsidR="63014C2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ist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mit </w:t>
      </w:r>
      <w:r w:rsidRPr="4A2D4C26" w:rsidR="1BA9DBB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höheren 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Kosten verbunden und eignet sich eher für größere Unternehmen.</w:t>
      </w:r>
    </w:p>
    <w:p w:rsidR="4A2D4C26" w:rsidP="4A2D4C26" w:rsidRDefault="4A2D4C26" w14:paraId="711A3CA7" w14:textId="0C38811A">
      <w:pPr>
        <w:pStyle w:val="Normal"/>
        <w:spacing w:before="0" w:beforeAutospacing="off" w:after="0" w:afterAutospacing="off" w:line="360" w:lineRule="auto"/>
        <w:ind w:left="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1A90330D" w:rsidP="4C55E1CF" w:rsidRDefault="1A90330D" w14:paraId="7E71D4BE" w14:textId="5900253F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C55E1CF" w:rsidR="0B464C4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Rechtliche und steuerliche </w:t>
      </w:r>
      <w:r w:rsidRPr="4C55E1CF" w:rsidR="0B464C4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Aspekte:</w:t>
      </w:r>
      <w:r w:rsidRPr="4C55E1CF" w:rsidR="60A5DCAC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</w:t>
      </w:r>
      <w:r w:rsidRPr="4C55E1CF" w:rsidR="390270A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8"/>
          <w:szCs w:val="28"/>
          <w:lang w:val="de-DE"/>
        </w:rPr>
        <w:t>Auf</w:t>
      </w:r>
      <w:r w:rsidRPr="4C55E1CF" w:rsidR="390270A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92E32"/>
          <w:sz w:val="28"/>
          <w:szCs w:val="28"/>
          <w:lang w:val="de-DE"/>
        </w:rPr>
        <w:t xml:space="preserve"> Grund der Verwendung von Mitteln anderer Gesellschaften ist eine juristische Ausgestaltung notwendig.</w:t>
      </w:r>
    </w:p>
    <w:p w:rsidR="079BDED1" w:rsidP="4C55E1CF" w:rsidRDefault="079BDED1" w14:paraId="5925C50F" w14:textId="2C9E666D">
      <w:pPr>
        <w:pStyle w:val="Normal"/>
        <w:spacing w:before="0" w:beforeAutospacing="off" w:after="0" w:afterAutospacing="off" w:line="360" w:lineRule="auto"/>
        <w:ind w:left="0" w:firstLine="708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0"/>
          <w:szCs w:val="20"/>
          <w:lang w:val="de-DE"/>
        </w:rPr>
      </w:pPr>
      <w:r w:rsidRPr="4C55E1CF" w:rsidR="390270A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0"/>
          <w:szCs w:val="20"/>
          <w:lang w:val="de-DE"/>
        </w:rPr>
        <w:t xml:space="preserve">-- </w:t>
      </w:r>
      <w:r w:rsidRPr="4C55E1CF" w:rsidR="0B464C4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0"/>
          <w:szCs w:val="20"/>
          <w:lang w:val="de-DE"/>
        </w:rPr>
        <w:t xml:space="preserve">In Deutschland ist eine rechtliche Prüfung erforderlich, um beispielsweise unerlaubte Bankgeschäfte zu </w:t>
      </w:r>
      <w:r>
        <w:tab/>
      </w:r>
      <w:r w:rsidRPr="4C55E1CF" w:rsidR="0B464C4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0"/>
          <w:szCs w:val="20"/>
          <w:lang w:val="de-DE"/>
        </w:rPr>
        <w:t>vermeiden. Es muss oft ein beherrschender Einfluss auf die beteiligten Tochtergesellschaften bestehen.</w:t>
      </w:r>
    </w:p>
    <w:p w:rsidR="4A2D4C26" w:rsidP="4A2D4C26" w:rsidRDefault="4A2D4C26" w14:paraId="619FC01B" w14:textId="64CAC450">
      <w:pPr>
        <w:pStyle w:val="Normal"/>
        <w:spacing w:before="0" w:beforeAutospacing="off" w:after="0" w:afterAutospacing="off" w:line="360" w:lineRule="auto"/>
        <w:ind w:left="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0"/>
          <w:szCs w:val="20"/>
          <w:lang w:val="de-DE"/>
        </w:rPr>
      </w:pPr>
    </w:p>
    <w:p w:rsidR="1A90330D" w:rsidP="4A2D4C26" w:rsidRDefault="1A90330D" w14:paraId="6C7CCDC0" w14:textId="78DF8B3C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  <w:r w:rsidRPr="4A2D4C26" w:rsidR="1A90330D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Meldepflichten:</w:t>
      </w:r>
      <w:r w:rsidRPr="4A2D4C26" w:rsidR="1A9033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 Bei grenzüberschreitenden Pools können Meldepflichten nach dem Außenwirtschaftsgesetz greifen.</w:t>
      </w:r>
    </w:p>
    <w:p w:rsidR="4A2D4C26" w:rsidP="4A2D4C26" w:rsidRDefault="4A2D4C26" w14:paraId="1B213B1B" w14:textId="66D291F2">
      <w:pPr>
        <w:pStyle w:val="Normal"/>
        <w:spacing w:before="0" w:beforeAutospacing="off" w:after="0" w:afterAutospacing="off" w:line="360" w:lineRule="auto"/>
        <w:ind w:left="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115B8B8A" w:rsidP="4C55E1CF" w:rsidRDefault="115B8B8A" w14:paraId="639153EB" w14:textId="1C3CA470">
      <w:pPr>
        <w:pStyle w:val="Heading3"/>
        <w:spacing w:before="246" w:beforeAutospacing="off" w:after="246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8"/>
          <w:szCs w:val="28"/>
          <w:lang w:val="de-DE"/>
        </w:rPr>
      </w:pP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8"/>
          <w:szCs w:val="28"/>
          <w:lang w:val="de-DE"/>
        </w:rPr>
        <w:t>Risiken und Herausforderungen</w:t>
      </w:r>
    </w:p>
    <w:p w:rsidR="115B8B8A" w:rsidP="4A2D4C26" w:rsidRDefault="115B8B8A" w14:paraId="0A20D3AF" w14:textId="6EC339B0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  <w:r w:rsidRPr="4A2D4C26" w:rsidR="115B8B8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Insolvenzanfechtung</w:t>
      </w:r>
      <w:r w:rsidRPr="4A2D4C26" w:rsidR="115B8B8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Zahlungen innerhalb des Pools können im Insolvenzfall rückwirkend angefochten werden (§§ 130, 133, 135 InsO).</w:t>
      </w:r>
    </w:p>
    <w:p w:rsidR="115B8B8A" w:rsidP="4A2D4C26" w:rsidRDefault="115B8B8A" w14:paraId="784DF5DE" w14:textId="4CD07620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  <w:r w:rsidRPr="4A2D4C26" w:rsidR="115B8B8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Haftungsrisiken für Geschäftsführer</w:t>
      </w:r>
      <w:r w:rsidRPr="4A2D4C26" w:rsidR="115B8B8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Verletzung von Kapitalerhaltungs- und Sorgfaltspflichten kann zu persönlicher Haftung führen.</w:t>
      </w:r>
    </w:p>
    <w:p w:rsidR="115B8B8A" w:rsidP="4A2D4C26" w:rsidRDefault="115B8B8A" w14:paraId="5D4C41B2" w14:textId="626F388A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  <w:r w:rsidRPr="4A2D4C26" w:rsidR="115B8B8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Verlust finanzieller Autonomie</w:t>
      </w:r>
      <w:r w:rsidRPr="4A2D4C26" w:rsidR="115B8B8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Einzelgesellschaften verlieren Handlungsspielraum.</w:t>
      </w:r>
    </w:p>
    <w:p w:rsidR="115B8B8A" w:rsidP="4C55E1CF" w:rsidRDefault="115B8B8A" w14:paraId="4F6E0A71" w14:textId="3ADB7642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strike w:val="0"/>
          <w:dstrike w:val="0"/>
          <w:noProof w:val="0"/>
          <w:color w:val="464FEB"/>
          <w:sz w:val="21"/>
          <w:szCs w:val="21"/>
          <w:u w:val="none"/>
          <w:lang w:val="de-DE"/>
        </w:rPr>
      </w:pP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Steuerliche und rechtliche Komplexität</w:t>
      </w:r>
      <w:r w:rsidRPr="4C55E1CF" w:rsidR="20309FC6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Fremdvergleichsgrundsatz, Quellensteuerpflichten, Compliance-Anforderungen.</w:t>
      </w:r>
    </w:p>
    <w:p w:rsidR="115B8B8A" w:rsidP="4C55E1CF" w:rsidRDefault="115B8B8A" w14:paraId="72FC5233" w14:textId="1C10AA16">
      <w:pPr>
        <w:pStyle w:val="Heading3"/>
        <w:spacing w:before="246" w:beforeAutospacing="off" w:after="246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8"/>
          <w:szCs w:val="28"/>
          <w:lang w:val="de-DE"/>
        </w:rPr>
      </w:pP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8"/>
          <w:szCs w:val="28"/>
          <w:lang w:val="de-DE"/>
        </w:rPr>
        <w:t>Best Practices</w:t>
      </w:r>
    </w:p>
    <w:p w:rsidR="115B8B8A" w:rsidP="4C55E1CF" w:rsidRDefault="115B8B8A" w14:paraId="706DC721" w14:textId="473D4E11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 xml:space="preserve">Klare </w:t>
      </w: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Governance</w:t>
      </w:r>
      <w:r w:rsidRPr="4C55E1CF" w:rsidR="57BD8A2C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 xml:space="preserve"> </w:t>
      </w:r>
      <w:r w:rsidRPr="4C55E1CF" w:rsidR="57BD8A2C"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1"/>
          <w:szCs w:val="21"/>
          <w:lang w:val="de-DE"/>
        </w:rPr>
        <w:t>(</w:t>
      </w:r>
      <w:r w:rsidRPr="4C55E1CF" w:rsidR="0DBA7289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de-DE"/>
        </w:rPr>
        <w:t>=</w:t>
      </w:r>
      <w:r w:rsidRPr="4C55E1CF" w:rsidR="57BD8A2C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de-DE"/>
        </w:rPr>
        <w:t>Führung)</w:t>
      </w:r>
      <w:r w:rsidRPr="4C55E1CF" w:rsidR="20309FC6"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1"/>
          <w:szCs w:val="21"/>
          <w:lang w:val="de-DE"/>
        </w:rPr>
        <w:t xml:space="preserve"> </w:t>
      </w: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und Verträge</w:t>
      </w:r>
      <w:r w:rsidRPr="4C55E1CF" w:rsidR="20309FC6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Poolvereinbarungen müssen Zinssätze, Ausstiegsmodalitäten und Rangfolgen definieren.</w:t>
      </w:r>
    </w:p>
    <w:p w:rsidR="115B8B8A" w:rsidP="4A2D4C26" w:rsidRDefault="115B8B8A" w14:paraId="36A73C86" w14:textId="2DB81C1B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  <w:r w:rsidRPr="4A2D4C26" w:rsidR="115B8B8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Automatisierung</w:t>
      </w:r>
      <w:r w:rsidRPr="4A2D4C26" w:rsidR="115B8B8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Einsatz eines Treasury-Management-Systems zur täglichen Überwachung.</w:t>
      </w:r>
    </w:p>
    <w:p w:rsidR="115B8B8A" w:rsidP="4A2D4C26" w:rsidRDefault="115B8B8A" w14:paraId="4E406873" w14:textId="57260BAC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  <w:r w:rsidRPr="4C55E1CF" w:rsidR="20309FC6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de-DE"/>
        </w:rPr>
        <w:t>Compliance und Dokumentation</w:t>
      </w:r>
      <w:r w:rsidRPr="4C55E1CF" w:rsidR="20309FC6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  <w:t>: Regelmäßige Prüfung zur Vermeidung steuerlicher und rechtlicher Risiken.</w:t>
      </w:r>
    </w:p>
    <w:p w:rsidR="4C55E1CF" w:rsidP="4C55E1CF" w:rsidRDefault="4C55E1CF" w14:paraId="6976D85F" w14:textId="68C67B98">
      <w:pPr>
        <w:pStyle w:val="ListParagraph"/>
        <w:spacing w:before="0" w:beforeAutospacing="off" w:after="0" w:afterAutospacing="off" w:line="300" w:lineRule="auto"/>
        <w:ind w:left="720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</w:p>
    <w:p w:rsidR="4C55E1CF" w:rsidP="4C55E1CF" w:rsidRDefault="4C55E1CF" w14:paraId="2F00AFE9" w14:textId="45839E5A">
      <w:pPr>
        <w:pStyle w:val="ListParagraph"/>
        <w:spacing w:before="0" w:beforeAutospacing="off" w:after="0" w:afterAutospacing="off" w:line="300" w:lineRule="auto"/>
        <w:ind w:left="720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de-DE"/>
        </w:rPr>
      </w:pPr>
    </w:p>
    <w:p w:rsidR="4A2D4C26" w:rsidP="4A2D4C26" w:rsidRDefault="4A2D4C26" w14:paraId="28913FE0" w14:textId="5A9273B2">
      <w:pPr>
        <w:pStyle w:val="Normal"/>
        <w:spacing w:before="0" w:beforeAutospacing="off" w:after="0" w:afterAutospacing="off" w:line="360" w:lineRule="auto"/>
        <w:ind w:left="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326BE558" w:rsidP="4C55E1CF" w:rsidRDefault="326BE558" w14:paraId="3042806C" w14:textId="4F014DCF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5B813C9F"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  <w:t>Rechtliche Grundlagen des Cash Pooling</w:t>
      </w:r>
    </w:p>
    <w:p w:rsidR="326BE558" w:rsidP="4A2D4C26" w:rsidRDefault="326BE558" w14:paraId="481DD7D5" w14:textId="3A67F09F">
      <w:pPr>
        <w:spacing w:before="240" w:beforeAutospacing="off" w:after="240" w:afterAutospacing="off"/>
      </w:pPr>
      <w:r w:rsidRPr="4C55E1CF" w:rsidR="5B813C9F">
        <w:rPr>
          <w:rFonts w:ascii="Roboto" w:hAnsi="Roboto" w:eastAsia="Roboto" w:cs="Roboto"/>
          <w:b w:val="1"/>
          <w:bCs w:val="1"/>
          <w:i w:val="1"/>
          <w:iCs w:val="1"/>
          <w:noProof w:val="0"/>
          <w:sz w:val="28"/>
          <w:szCs w:val="28"/>
          <w:lang w:val="de-DE"/>
        </w:rPr>
        <w:t>Cash Pooling</w:t>
      </w:r>
      <w:r w:rsidRPr="4C55E1CF" w:rsidR="5B813C9F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lang w:val="de-DE"/>
        </w:rPr>
        <w:t xml:space="preserve"> ist in Deutschland gesetzlich nicht ausdrücklich geregelt</w:t>
      </w:r>
      <w:r w:rsidRPr="4C55E1CF" w:rsidR="5B813C9F">
        <w:rPr>
          <w:rFonts w:ascii="Roboto" w:hAnsi="Roboto" w:eastAsia="Roboto" w:cs="Roboto"/>
          <w:noProof w:val="0"/>
          <w:sz w:val="24"/>
          <w:szCs w:val="24"/>
          <w:lang w:val="de-DE"/>
        </w:rPr>
        <w:t>, sondern durch Rechtsprechung und Verwaltungsanweisungen anerkannt. Entscheidende Grundsätze ergeben sich aus:</w:t>
      </w:r>
    </w:p>
    <w:p w:rsidR="326BE558" w:rsidP="4A2D4C26" w:rsidRDefault="326BE558" w14:paraId="1E4476CD" w14:textId="2C425E1F">
      <w:pPr>
        <w:spacing w:before="240" w:beforeAutospacing="off" w:after="240" w:afterAutospacing="off"/>
      </w:pPr>
      <w:r w:rsidRPr="4C55E1CF" w:rsidR="5B813C9F">
        <w:rPr>
          <w:rFonts w:ascii="Roboto" w:hAnsi="Roboto" w:eastAsia="Roboto" w:cs="Roboto"/>
          <w:noProof w:val="0"/>
          <w:sz w:val="24"/>
          <w:szCs w:val="24"/>
          <w:lang w:val="de-DE"/>
        </w:rPr>
        <w:t>· § 30 GmbHG (Kapitalerhaltung)</w:t>
      </w:r>
    </w:p>
    <w:p w:rsidR="326BE558" w:rsidP="4A2D4C26" w:rsidRDefault="326BE558" w14:paraId="380917F7" w14:textId="67AB4838">
      <w:pPr>
        <w:spacing w:before="240" w:beforeAutospacing="off" w:after="240" w:afterAutospacing="off"/>
      </w:pPr>
      <w:r w:rsidRPr="4C55E1CF" w:rsidR="5B813C9F">
        <w:rPr>
          <w:rFonts w:ascii="Roboto" w:hAnsi="Roboto" w:eastAsia="Roboto" w:cs="Roboto"/>
          <w:noProof w:val="0"/>
          <w:sz w:val="24"/>
          <w:szCs w:val="24"/>
          <w:lang w:val="de-DE"/>
        </w:rPr>
        <w:t>· § 43 GmbHG (Sorgfaltspflichten der Geschäftsführung)</w:t>
      </w:r>
    </w:p>
    <w:p w:rsidR="326BE558" w:rsidP="4A2D4C26" w:rsidRDefault="326BE558" w14:paraId="17AD962E" w14:textId="32844603">
      <w:pPr>
        <w:spacing w:before="240" w:beforeAutospacing="off" w:after="240" w:afterAutospacing="off"/>
      </w:pPr>
      <w:r w:rsidRPr="4C55E1CF" w:rsidR="5B813C9F">
        <w:rPr>
          <w:rFonts w:ascii="Roboto" w:hAnsi="Roboto" w:eastAsia="Roboto" w:cs="Roboto"/>
          <w:noProof w:val="0"/>
          <w:sz w:val="24"/>
          <w:szCs w:val="24"/>
          <w:lang w:val="de-DE"/>
        </w:rPr>
        <w:t>· § 8a KStG (Zinsschranke)</w:t>
      </w:r>
    </w:p>
    <w:p w:rsidR="326BE558" w:rsidP="4A2D4C26" w:rsidRDefault="326BE558" w14:paraId="02F3BC00" w14:textId="24BE4BEC">
      <w:pPr>
        <w:spacing w:before="240" w:beforeAutospacing="off" w:after="240" w:afterAutospacing="off"/>
      </w:pPr>
      <w:r w:rsidRPr="4C55E1CF" w:rsidR="5B813C9F">
        <w:rPr>
          <w:rFonts w:ascii="Roboto" w:hAnsi="Roboto" w:eastAsia="Roboto" w:cs="Roboto"/>
          <w:noProof w:val="0"/>
          <w:sz w:val="24"/>
          <w:szCs w:val="24"/>
          <w:lang w:val="de-DE"/>
        </w:rPr>
        <w:t>· Fremdvergleichsgrundsatz (§ 1 AStG)</w:t>
      </w:r>
    </w:p>
    <w:p w:rsidR="24ED5958" w:rsidP="4C55E1CF" w:rsidRDefault="24ED5958" w14:paraId="0849016E" w14:textId="51688BF2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8"/>
          <w:szCs w:val="28"/>
          <w:lang w:val="de-DE"/>
        </w:rPr>
      </w:pPr>
    </w:p>
    <w:p w:rsidR="24ED5958" w:rsidP="4C55E1CF" w:rsidRDefault="24ED5958" w14:paraId="16D2BFDE" w14:textId="6E200F88">
      <w:pPr>
        <w:pStyle w:val="Normal"/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47E4ABC5"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  <w:t>Vertragliche Gestaltungsmöglichkeiten</w:t>
      </w:r>
    </w:p>
    <w:p w:rsidR="0F0DDE71" w:rsidP="4C55E1CF" w:rsidRDefault="0F0DDE71" w14:paraId="2927E3FB" w14:textId="1945EA49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i w:val="1"/>
          <w:iCs w:val="1"/>
          <w:noProof w:val="0"/>
          <w:sz w:val="20"/>
          <w:szCs w:val="20"/>
          <w:lang w:val="de-DE"/>
        </w:rPr>
      </w:pPr>
      <w:r w:rsidRPr="4C55E1CF" w:rsidR="4FB1AEF2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lang w:val="de-DE"/>
        </w:rPr>
        <w:t>E</w:t>
      </w:r>
      <w:r w:rsidRPr="4C55E1CF" w:rsidR="4FB1AEF2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 xml:space="preserve">s gibt 2 </w:t>
      </w:r>
      <w:r w:rsidRPr="4C55E1CF" w:rsidR="47E4ABC5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 xml:space="preserve">Hauptmodelle für </w:t>
      </w:r>
      <w:r w:rsidRPr="4C55E1CF" w:rsidR="71029FBF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 xml:space="preserve">das </w:t>
      </w:r>
      <w:r w:rsidRPr="4C55E1CF" w:rsidR="47E4ABC5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>Cash Pooling</w:t>
      </w:r>
      <w:r w:rsidRPr="4C55E1CF" w:rsidR="4F1461F7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 xml:space="preserve"> und der Hybride Ansatz</w:t>
      </w:r>
      <w:r w:rsidRPr="4C55E1CF" w:rsidR="523E2AD4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>!</w:t>
      </w:r>
    </w:p>
    <w:p w:rsidR="4A2D4C26" w:rsidP="4C55E1CF" w:rsidRDefault="4A2D4C26" w14:paraId="6F1D01ED" w14:textId="325B0C1C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0"/>
          <w:szCs w:val="20"/>
          <w:lang w:val="de-DE"/>
        </w:rPr>
      </w:pPr>
    </w:p>
    <w:p w:rsidR="4C55E1CF" w:rsidP="4C55E1CF" w:rsidRDefault="4C55E1CF" w14:paraId="5EAF6DBA" w14:textId="4547A5EF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</w:pPr>
    </w:p>
    <w:p w:rsidR="18B3AF77" w:rsidP="4A2D4C26" w:rsidRDefault="18B3AF77" w14:paraId="220748B7" w14:textId="55DED845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</w:pPr>
      <w:r w:rsidRPr="4A2D4C26" w:rsidR="18B3AF77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A</w:t>
      </w:r>
      <w:r w:rsidRPr="4A2D4C26" w:rsidR="24ED5958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)</w:t>
      </w:r>
      <w:r w:rsidRPr="4A2D4C26" w:rsidR="24ED5958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 xml:space="preserve"> </w:t>
      </w:r>
      <w:r w:rsidRPr="4A2D4C26" w:rsidR="24ED5958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Physica</w:t>
      </w:r>
      <w:r w:rsidRPr="4A2D4C26" w:rsidR="24ED5958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l</w:t>
      </w:r>
      <w:r w:rsidRPr="4A2D4C26" w:rsidR="24ED5958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 xml:space="preserve"> Cash Pooling (Konzentrationsmodell)</w:t>
      </w:r>
    </w:p>
    <w:p w:rsidR="1B191D9A" w:rsidP="4A2D4C26" w:rsidRDefault="1B191D9A" w14:paraId="45036A71" w14:textId="1038159B">
      <w:pPr>
        <w:pStyle w:val="Normal"/>
        <w:spacing w:before="0" w:beforeAutospacing="off" w:after="0" w:afterAutospacing="off" w:line="300" w:lineRule="auto"/>
        <w:ind w:left="0"/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1"/>
          <w:szCs w:val="21"/>
          <w:lang w:val="de-DE"/>
        </w:rPr>
      </w:pPr>
      <w:r w:rsidRPr="4A2D4C26" w:rsidR="1B191D9A"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1"/>
          <w:szCs w:val="21"/>
          <w:lang w:val="de-DE"/>
        </w:rPr>
        <w:t>Guthaben und Sollsalden werden tatsächlich auf ein zentrales Konto übertragen.</w:t>
      </w:r>
    </w:p>
    <w:p w:rsidR="24ED5958" w:rsidP="4A2D4C26" w:rsidRDefault="24ED5958" w14:paraId="240DBF32" w14:textId="56ABC9D4">
      <w:pPr>
        <w:spacing w:before="240" w:beforeAutospacing="off" w:after="240" w:afterAutospacing="off"/>
      </w:pP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>· Tägliche Saldenverrechnung</w:t>
      </w:r>
    </w:p>
    <w:p w:rsidR="24ED5958" w:rsidP="4A2D4C26" w:rsidRDefault="24ED5958" w14:paraId="453BF5A2" w14:textId="08686AA4">
      <w:pPr>
        <w:spacing w:before="240" w:beforeAutospacing="off" w:after="240" w:afterAutospacing="off"/>
      </w:pP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· Konten der operativen GmbH werden täglich auf </w:t>
      </w: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>Null</w:t>
      </w: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 gestellt</w:t>
      </w:r>
    </w:p>
    <w:p w:rsidR="24ED5958" w:rsidP="4A2D4C26" w:rsidRDefault="24ED5958" w14:paraId="0A8691EB" w14:textId="3D322CE6">
      <w:pPr>
        <w:spacing w:before="240" w:beforeAutospacing="off" w:after="240" w:afterAutospacing="off"/>
      </w:pP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>· Überschüsse werden automatisch an Holding transferiert</w:t>
      </w:r>
    </w:p>
    <w:p w:rsidR="1DC897EF" w:rsidP="4A2D4C26" w:rsidRDefault="1DC897EF" w14:paraId="2A76A05B" w14:textId="67C14211">
      <w:pPr>
        <w:pStyle w:val="Normal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202020"/>
          <w:sz w:val="20"/>
          <w:szCs w:val="20"/>
          <w:lang w:val="de-DE"/>
        </w:rPr>
      </w:pPr>
      <w:r w:rsidRPr="4A2D4C26" w:rsidR="1DC897EF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· </w:t>
      </w:r>
      <w:r w:rsidRPr="4A2D4C26" w:rsidR="1DC897E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Sonderform</w:t>
      </w:r>
      <w:r w:rsidRPr="4A2D4C26" w:rsidR="1DC897E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 xml:space="preserve">: Target </w:t>
      </w:r>
      <w:r w:rsidRPr="4A2D4C26" w:rsidR="1DC897E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  <w:t>Balancing</w:t>
      </w:r>
    </w:p>
    <w:p w:rsidR="24ED5958" w:rsidP="4C55E1CF" w:rsidRDefault="24ED5958" w14:paraId="43985BBF" w14:textId="632FF449">
      <w:pPr>
        <w:pStyle w:val="Normal"/>
        <w:spacing w:before="240" w:beforeAutospacing="off" w:after="240" w:afterAutospacing="off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202020"/>
          <w:sz w:val="20"/>
          <w:szCs w:val="20"/>
          <w:lang w:val="de-DE"/>
        </w:rPr>
      </w:pPr>
      <w:r w:rsidRPr="4C55E1CF" w:rsidR="2EE211E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202020"/>
          <w:sz w:val="20"/>
          <w:szCs w:val="20"/>
          <w:lang w:val="de-DE"/>
        </w:rPr>
        <w:t>Die Konten werden auf vordefinierte Zielsalden eingestellt. Differenzen werden physisch zum Tagesende ausgeglichen. Die rechtliche Einordnung entspricht im Kern dem physischen Pooling, mit zusätzlichen Vorgaben zu Zielwerten.</w:t>
      </w:r>
    </w:p>
    <w:p w:rsidR="24ED5958" w:rsidP="4C55E1CF" w:rsidRDefault="24ED5958" w14:paraId="7907B28A" w14:textId="3640CF41">
      <w:pPr>
        <w:pStyle w:val="Normal"/>
        <w:spacing w:before="240" w:beforeAutospacing="off" w:after="240" w:afterAutospacing="off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202020"/>
          <w:sz w:val="20"/>
          <w:szCs w:val="20"/>
          <w:lang w:val="de-DE"/>
        </w:rPr>
      </w:pPr>
    </w:p>
    <w:p w:rsidR="24ED5958" w:rsidP="4C55E1CF" w:rsidRDefault="24ED5958" w14:paraId="7878CD0E" w14:textId="282EE8AA">
      <w:pPr>
        <w:pStyle w:val="Normal"/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</w:pPr>
    </w:p>
    <w:p w:rsidR="24ED5958" w:rsidP="4C55E1CF" w:rsidRDefault="24ED5958" w14:paraId="1A1163EF" w14:textId="6272E830">
      <w:pPr>
        <w:pStyle w:val="Normal"/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</w:pPr>
    </w:p>
    <w:p w:rsidR="24ED5958" w:rsidP="4C55E1CF" w:rsidRDefault="24ED5958" w14:paraId="6B1B0BDE" w14:textId="181A71D6">
      <w:pPr>
        <w:pStyle w:val="Normal"/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</w:pPr>
    </w:p>
    <w:p w:rsidR="24ED5958" w:rsidP="4C55E1CF" w:rsidRDefault="24ED5958" w14:paraId="039AF5BC" w14:textId="3885BB33">
      <w:pPr>
        <w:pStyle w:val="Normal"/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2FB6A6C8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>B</w:t>
      </w:r>
      <w:r w:rsidRPr="4C55E1CF" w:rsidR="47E4ABC5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 xml:space="preserve">) </w:t>
      </w:r>
      <w:r w:rsidRPr="4C55E1CF" w:rsidR="47E4ABC5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>Notional</w:t>
      </w:r>
      <w:r w:rsidRPr="4C55E1CF" w:rsidR="47E4ABC5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 xml:space="preserve"> </w:t>
      </w:r>
      <w:r w:rsidRPr="4C55E1CF" w:rsidR="5A653107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en-US"/>
        </w:rPr>
        <w:t>(=</w:t>
      </w:r>
      <w:r w:rsidRPr="4C55E1CF" w:rsidR="5A653107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en-US"/>
        </w:rPr>
        <w:t>fiktives</w:t>
      </w:r>
      <w:r w:rsidRPr="4C55E1CF" w:rsidR="5A653107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en-US"/>
        </w:rPr>
        <w:t xml:space="preserve">) / </w:t>
      </w:r>
      <w:r w:rsidRPr="4C55E1CF" w:rsidR="5A653107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en-US"/>
        </w:rPr>
        <w:t>Virtuelles</w:t>
      </w:r>
      <w:r w:rsidRPr="4C55E1CF" w:rsidR="5A653107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en-US"/>
        </w:rPr>
        <w:t xml:space="preserve"> </w:t>
      </w:r>
      <w:r w:rsidRPr="4C55E1CF" w:rsidR="47E4ABC5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>Cash Pooling (</w:t>
      </w:r>
      <w:r w:rsidRPr="4C55E1CF" w:rsidR="47E4ABC5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>Saldenausgleichsmodell</w:t>
      </w:r>
      <w:r w:rsidRPr="4C55E1CF" w:rsidR="47E4ABC5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  <w:t>)</w:t>
      </w:r>
    </w:p>
    <w:p w:rsidR="24ED5958" w:rsidP="4C55E1CF" w:rsidRDefault="24ED5958" w14:paraId="4C8F1092" w14:textId="140EE105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en-US"/>
        </w:rPr>
      </w:pPr>
      <w:r w:rsidRPr="4C55E1CF" w:rsidR="47E4ABC5">
        <w:rPr>
          <w:rFonts w:ascii="Roboto" w:hAnsi="Roboto" w:eastAsia="Roboto" w:cs="Roboto"/>
          <w:noProof w:val="0"/>
          <w:sz w:val="24"/>
          <w:szCs w:val="24"/>
          <w:lang w:val="de-DE"/>
        </w:rPr>
        <w:t>·</w:t>
      </w:r>
      <w:r w:rsidRPr="4C55E1CF" w:rsidR="47E4ABC5">
        <w:rPr>
          <w:rFonts w:ascii="Roboto" w:hAnsi="Roboto" w:eastAsia="Roboto" w:cs="Roboto"/>
          <w:i w:val="1"/>
          <w:iCs w:val="1"/>
          <w:noProof w:val="0"/>
          <w:sz w:val="24"/>
          <w:szCs w:val="24"/>
          <w:lang w:val="de-DE"/>
        </w:rPr>
        <w:t xml:space="preserve"> </w:t>
      </w:r>
      <w:r w:rsidRPr="4C55E1CF" w:rsidR="47E4ABC5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de-DE"/>
        </w:rPr>
        <w:t>Nur</w:t>
      </w:r>
      <w:r w:rsidRPr="4C55E1CF" w:rsidR="47E4ABC5">
        <w:rPr>
          <w:rFonts w:ascii="Roboto" w:hAnsi="Roboto" w:eastAsia="Roboto" w:cs="Roboto"/>
          <w:b w:val="1"/>
          <w:bCs w:val="1"/>
          <w:i w:val="1"/>
          <w:iCs w:val="1"/>
          <w:noProof w:val="0"/>
          <w:sz w:val="24"/>
          <w:szCs w:val="24"/>
          <w:u w:val="single"/>
          <w:lang w:val="de-DE"/>
        </w:rPr>
        <w:t xml:space="preserve"> </w:t>
      </w:r>
      <w:r w:rsidRPr="4C55E1CF" w:rsidR="47E4ABC5">
        <w:rPr>
          <w:rFonts w:ascii="Roboto" w:hAnsi="Roboto" w:eastAsia="Roboto" w:cs="Roboto"/>
          <w:noProof w:val="0"/>
          <w:sz w:val="24"/>
          <w:szCs w:val="24"/>
          <w:lang w:val="de-DE"/>
        </w:rPr>
        <w:t>rechnerischer Saldenausgleich</w:t>
      </w:r>
    </w:p>
    <w:p w:rsidR="24ED5958" w:rsidP="4A2D4C26" w:rsidRDefault="24ED5958" w14:paraId="2F45335B" w14:textId="0F33B0A5">
      <w:pPr>
        <w:spacing w:before="240" w:beforeAutospacing="off" w:after="240" w:afterAutospacing="off"/>
      </w:pP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>· Kontobewegungen bleiben auf einzelnen Konten</w:t>
      </w:r>
    </w:p>
    <w:p w:rsidR="24ED5958" w:rsidP="4A2D4C26" w:rsidRDefault="24ED5958" w14:paraId="1821048D" w14:textId="1F81D864">
      <w:pPr>
        <w:spacing w:before="240" w:beforeAutospacing="off" w:after="240" w:afterAutospacing="off"/>
      </w:pPr>
      <w:r w:rsidRPr="4A2D4C26" w:rsidR="24ED5958">
        <w:rPr>
          <w:rFonts w:ascii="Roboto" w:hAnsi="Roboto" w:eastAsia="Roboto" w:cs="Roboto"/>
          <w:noProof w:val="0"/>
          <w:sz w:val="24"/>
          <w:szCs w:val="24"/>
          <w:lang w:val="de-DE"/>
        </w:rPr>
        <w:t>· Zinsvorteile werden vertraglich verteilt</w:t>
      </w:r>
    </w:p>
    <w:p w:rsidR="4A2D4C26" w:rsidP="4A2D4C26" w:rsidRDefault="4A2D4C26" w14:paraId="4BF2A559" w14:textId="62ADD969">
      <w:pPr>
        <w:pStyle w:val="Normal"/>
        <w:spacing w:before="0" w:beforeAutospacing="off" w:after="0" w:afterAutospacing="off" w:line="360" w:lineRule="auto"/>
        <w:ind w:left="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018B2FBD" w:rsidP="4C55E1CF" w:rsidRDefault="018B2FBD" w14:paraId="68B6DF44" w14:textId="57FC3C28">
      <w:pPr>
        <w:pStyle w:val="Normal"/>
        <w:spacing w:before="210" w:beforeAutospacing="off" w:after="210" w:afterAutospacing="off" w:line="300" w:lineRule="auto"/>
        <w:ind w:left="0"/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0"/>
          <w:szCs w:val="20"/>
          <w:lang w:val="de-DE"/>
        </w:rPr>
      </w:pPr>
      <w:r w:rsidRPr="4C55E1CF" w:rsidR="5A1D32A7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u w:val="single"/>
          <w:lang w:val="de-DE"/>
        </w:rPr>
        <w:t xml:space="preserve">C) </w:t>
      </w:r>
      <w:r w:rsidRPr="4C55E1CF" w:rsidR="3F1BF2B4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u w:val="single"/>
          <w:lang w:val="de-DE"/>
        </w:rPr>
        <w:t>Hybride Modelle</w:t>
      </w:r>
    </w:p>
    <w:p w:rsidR="018B2FBD" w:rsidP="4C55E1CF" w:rsidRDefault="018B2FBD" w14:paraId="430F060C" w14:textId="2B6F0791">
      <w:pPr>
        <w:pStyle w:val="Normal"/>
        <w:spacing w:before="210" w:beforeAutospacing="off" w:after="210" w:afterAutospacing="off" w:line="300" w:lineRule="auto"/>
        <w:ind w:left="0"/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0"/>
          <w:szCs w:val="20"/>
          <w:lang w:val="de-DE"/>
        </w:rPr>
      </w:pPr>
      <w:r w:rsidRPr="4C55E1CF" w:rsidR="3F1BF2B4"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0"/>
          <w:szCs w:val="20"/>
          <w:lang w:val="de-DE"/>
        </w:rPr>
        <w:t>Kombination aus physischem und virtuellem Pooling, oft in internationalen Strukturen</w:t>
      </w:r>
      <w:r w:rsidRPr="4C55E1CF" w:rsidR="213840F7">
        <w:rPr>
          <w:rFonts w:ascii="Segoe UI" w:hAnsi="Segoe UI" w:eastAsia="Segoe UI" w:cs="Segoe UI"/>
          <w:b w:val="1"/>
          <w:bCs w:val="1"/>
          <w:i w:val="1"/>
          <w:iCs w:val="1"/>
          <w:noProof w:val="0"/>
          <w:sz w:val="20"/>
          <w:szCs w:val="20"/>
          <w:lang w:val="de-DE"/>
        </w:rPr>
        <w:t>.</w:t>
      </w:r>
    </w:p>
    <w:p w:rsidR="4A2D4C26" w:rsidP="4A2D4C26" w:rsidRDefault="4A2D4C26" w14:paraId="0A151C21" w14:textId="076A5919">
      <w:pPr>
        <w:pStyle w:val="Normal"/>
        <w:spacing w:before="0" w:beforeAutospacing="off" w:after="0" w:afterAutospacing="off" w:line="360" w:lineRule="auto"/>
        <w:ind w:left="0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4A2D4C26" w:rsidP="4A2D4C26" w:rsidRDefault="4A2D4C26" w14:paraId="04552052" w14:textId="7F7B0019">
      <w:pPr>
        <w:pStyle w:val="Normal"/>
        <w:spacing w:before="0" w:beforeAutospacing="off" w:after="0" w:afterAutospacing="off" w:line="36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p w:rsidR="351DE981" w:rsidP="4A2D4C26" w:rsidRDefault="351DE981" w14:paraId="7C7EC116" w14:textId="07475992">
      <w:pPr>
        <w:pStyle w:val="Normal"/>
        <w:spacing w:before="0" w:beforeAutospacing="off" w:after="0" w:afterAutospacing="off" w:line="360" w:lineRule="auto"/>
      </w:pPr>
      <w:r w:rsidR="7DB0FEC0">
        <w:drawing>
          <wp:inline wp14:editId="42E558D1" wp14:anchorId="380A4C81">
            <wp:extent cx="6638925" cy="3057525"/>
            <wp:effectExtent l="0" t="0" r="0" b="0"/>
            <wp:docPr id="15926564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92656446" name="Picture 1592656446"/>
                    <pic:cNvPicPr/>
                  </pic:nvPicPr>
                  <pic:blipFill>
                    <a:blip xmlns:r="http://schemas.openxmlformats.org/officeDocument/2006/relationships" r:embed="rId17944749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89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2D4C26" w:rsidP="4C55E1CF" w:rsidRDefault="4A2D4C26" w14:paraId="31A2C4CA" w14:textId="72BF2897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</w:p>
    <w:p w:rsidR="4A2D4C26" w:rsidP="4C55E1CF" w:rsidRDefault="4A2D4C26" w14:paraId="7F84EB7D" w14:textId="6FB63B44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</w:p>
    <w:p w:rsidR="4A2D4C26" w:rsidP="4C55E1CF" w:rsidRDefault="4A2D4C26" w14:paraId="39979163" w14:textId="4A15EC78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</w:p>
    <w:p w:rsidR="4A2D4C26" w:rsidP="4C55E1CF" w:rsidRDefault="4A2D4C26" w14:paraId="46149F95" w14:textId="7D55D0F8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</w:p>
    <w:p w:rsidR="4A2D4C26" w:rsidP="4C55E1CF" w:rsidRDefault="4A2D4C26" w14:paraId="6CAFF068" w14:textId="1F5783B6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</w:p>
    <w:p w:rsidR="4A2D4C26" w:rsidP="4C55E1CF" w:rsidRDefault="4A2D4C26" w14:paraId="1AEBBB00" w14:textId="7CBF839A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27620A50"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  <w:t>Wesentliche Vertragsklauseln für eine Cash-Pooling-Vereinbarung</w:t>
      </w:r>
    </w:p>
    <w:p w:rsidR="4A2D4C26" w:rsidP="4C55E1CF" w:rsidRDefault="4A2D4C26" w14:paraId="674DED17" w14:textId="5DBBDF2B">
      <w:pPr>
        <w:pStyle w:val="Normal"/>
        <w:spacing w:before="0" w:beforeAutospacing="off" w:after="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4C55E1CF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A) 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Präambel und Ziele</w:t>
      </w:r>
    </w:p>
    <w:p w:rsidR="4A2D4C26" w:rsidP="4C55E1CF" w:rsidRDefault="4A2D4C26" w14:paraId="063AC6F6" w14:textId="54CF9CCA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Beschreibung der konzernweiten Liquiditätssteuerung</w:t>
      </w:r>
    </w:p>
    <w:p w:rsidR="4A2D4C26" w:rsidP="4C55E1CF" w:rsidRDefault="4A2D4C26" w14:paraId="6C8C904B" w14:textId="2652AAF2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Wirtschaftliche Vorteile für alle Beteiligten</w:t>
      </w:r>
    </w:p>
    <w:p w:rsidR="4A2D4C26" w:rsidP="4C55E1CF" w:rsidRDefault="4A2D4C26" w14:paraId="3C3D60D2" w14:textId="322B0BF8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Verbesserung der Zinssituation</w:t>
      </w:r>
    </w:p>
    <w:p w:rsidR="4A2D4C26" w:rsidP="4C55E1CF" w:rsidRDefault="4A2D4C26" w14:paraId="703D660A" w14:textId="5756804A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3C33BAEB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B) 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Rechtsnatur der Überlassungen</w:t>
      </w:r>
    </w:p>
    <w:p w:rsidR="4A2D4C26" w:rsidP="4C55E1CF" w:rsidRDefault="4A2D4C26" w14:paraId="4D6BEC27" w14:textId="104D9047">
      <w:p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Klare Qualifizierung als Darlehen (§ 488 BGB)</w:t>
      </w:r>
    </w:p>
    <w:p w:rsidR="4A2D4C26" w:rsidP="4C55E1CF" w:rsidRDefault="4A2D4C26" w14:paraId="4A5445EE" w14:textId="34887A16">
      <w:p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Forderungsentstehung und</w:t>
      </w:r>
      <w:r w:rsidRPr="4C55E1CF" w:rsidR="335143C2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 –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sicherheit</w:t>
      </w:r>
    </w:p>
    <w:p w:rsidR="4A2D4C26" w:rsidP="4C55E1CF" w:rsidRDefault="4A2D4C26" w14:paraId="065B6388" w14:textId="46A195F2">
      <w:p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· Dokumentation der 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Rückforderbarkeit</w:t>
      </w:r>
    </w:p>
    <w:p w:rsidR="4A2D4C26" w:rsidP="4C55E1CF" w:rsidRDefault="4A2D4C26" w14:paraId="40E810E4" w14:textId="4BBB9355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15611BDB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C) 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Verzinsung</w:t>
      </w:r>
    </w:p>
    <w:p w:rsidR="4A2D4C26" w:rsidP="4C55E1CF" w:rsidRDefault="4A2D4C26" w14:paraId="49329B8B" w14:textId="1931860E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Marktübliche Verzinsung (Fremdvergleich)</w:t>
      </w:r>
    </w:p>
    <w:p w:rsidR="4A2D4C26" w:rsidP="4C55E1CF" w:rsidRDefault="4A2D4C26" w14:paraId="088F026B" w14:textId="3ACD8936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Orientierung an EURIBOR oder vergleichbaren Referenzsätzen</w:t>
      </w:r>
    </w:p>
    <w:p w:rsidR="4A2D4C26" w:rsidP="4C55E1CF" w:rsidRDefault="4A2D4C26" w14:paraId="1D3953CE" w14:textId="28A84091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Gleiche Konditionen wie bei Dritten</w:t>
      </w:r>
    </w:p>
    <w:p w:rsidR="4A2D4C26" w:rsidP="4C55E1CF" w:rsidRDefault="4A2D4C26" w14:paraId="721BF13C" w14:textId="03AEE4E8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1489BD87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D) 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Besicherung</w:t>
      </w:r>
    </w:p>
    <w:p w:rsidR="4A2D4C26" w:rsidP="4C55E1CF" w:rsidRDefault="4A2D4C26" w14:paraId="630AF8D4" w14:textId="06353BB6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Globalzession oder Sicherungsabtretung</w:t>
      </w:r>
    </w:p>
    <w:p w:rsidR="4A2D4C26" w:rsidP="4C55E1CF" w:rsidRDefault="4A2D4C26" w14:paraId="57C33DDC" w14:textId="61D661DA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Verzicht auf Sicherheiten bei intransparentem Pool</w:t>
      </w:r>
    </w:p>
    <w:p w:rsidR="4A2D4C26" w:rsidP="4C55E1CF" w:rsidRDefault="4A2D4C26" w14:paraId="4C99C551" w14:textId="5B3E76B5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Rangrücktrittserklärungen</w:t>
      </w:r>
    </w:p>
    <w:p w:rsidR="4A2D4C26" w:rsidP="4C55E1CF" w:rsidRDefault="4A2D4C26" w14:paraId="10D3C000" w14:textId="6BCD1889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28805DCB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E) </w:t>
      </w: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Kündigungsregelungen</w:t>
      </w:r>
    </w:p>
    <w:p w:rsidR="4A2D4C26" w:rsidP="4C55E1CF" w:rsidRDefault="4A2D4C26" w14:paraId="63CDBB42" w14:textId="3C835002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Ordentliche und außerordentliche Kündigung</w:t>
      </w:r>
    </w:p>
    <w:p w:rsidR="4A2D4C26" w:rsidP="4C55E1CF" w:rsidRDefault="4A2D4C26" w14:paraId="25602539" w14:textId="6755098C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Fristen und Abwicklungsmodalitäten</w:t>
      </w:r>
    </w:p>
    <w:p w:rsidR="4A2D4C26" w:rsidP="4C55E1CF" w:rsidRDefault="4A2D4C26" w14:paraId="4E0E6FEC" w14:textId="041139FC">
      <w:pPr>
        <w:spacing w:before="240" w:beforeAutospacing="off" w:after="240" w:afterAutospacing="off"/>
      </w:pPr>
      <w:r w:rsidRPr="4C55E1CF" w:rsidR="27620A50">
        <w:rPr>
          <w:rFonts w:ascii="Roboto" w:hAnsi="Roboto" w:eastAsia="Roboto" w:cs="Roboto"/>
          <w:noProof w:val="0"/>
          <w:sz w:val="24"/>
          <w:szCs w:val="24"/>
          <w:lang w:val="de-DE"/>
        </w:rPr>
        <w:t>· Saldenausgleich bei Beendigung</w:t>
      </w:r>
    </w:p>
    <w:p w:rsidR="4A2D4C26" w:rsidP="4C55E1CF" w:rsidRDefault="4A2D4C26" w14:paraId="25927AF1" w14:textId="2F359AF6">
      <w:p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</w:p>
    <w:p w:rsidR="4A2D4C26" w:rsidP="4C55E1CF" w:rsidRDefault="4A2D4C26" w14:paraId="10AC3B91" w14:textId="1409C5D5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lang w:val="de-DE"/>
        </w:rPr>
        <w:t>Praktische Umsetzung für Ihre Situation</w:t>
      </w:r>
    </w:p>
    <w:p w:rsidR="4A2D4C26" w:rsidP="4C55E1CF" w:rsidRDefault="4A2D4C26" w14:paraId="2B401958" w14:textId="2F5145B3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</w:pPr>
      <w:r w:rsidRPr="4C55E1CF" w:rsidR="65F498CE"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  <w:t xml:space="preserve">Folgendes </w:t>
      </w:r>
      <w:r w:rsidRPr="4C55E1CF" w:rsidR="74F16577"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  <w:t>Vertragsmuster-Konzept</w:t>
      </w:r>
      <w:r w:rsidRPr="4C55E1CF" w:rsidR="41DFE41A"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  <w:t xml:space="preserve"> wird für den Gewinntransfer von der operativen GmbH zur Holding empfohlen:</w:t>
      </w:r>
    </w:p>
    <w:p w:rsidR="4A2D4C26" w:rsidP="4C55E1CF" w:rsidRDefault="4A2D4C26" w14:paraId="69A871B3" w14:textId="70EE66CE">
      <w:pPr>
        <w:pStyle w:val="Normal"/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§ 1 Gegenstand der Vereinbarung</w:t>
      </w:r>
    </w:p>
    <w:p w:rsidR="4A2D4C26" w:rsidP="4C55E1CF" w:rsidRDefault="4A2D4C26" w14:paraId="066E7263" w14:textId="7FB3C111">
      <w:pPr>
        <w:pStyle w:val="Normal"/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74F16577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 Die operative GmbH und die Holding schließen eine Cash-Pooling-Vereinbarung zur gemeinsamen Liquiditätssteuerung.</w:t>
      </w:r>
    </w:p>
    <w:p w:rsidR="4A2D4C26" w:rsidP="4C55E1CF" w:rsidRDefault="4A2D4C26" w14:paraId="7ABFCEA9" w14:textId="26B9F3DF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u w:val="single"/>
          <w:lang w:val="de-DE"/>
        </w:rPr>
      </w:pPr>
      <w:r w:rsidRPr="4C55E1CF" w:rsidR="7311231F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u w:val="single"/>
          <w:lang w:val="de-DE"/>
        </w:rPr>
        <w:t>Muster-Formulierung für den Gewinntransfer</w:t>
      </w:r>
    </w:p>
    <w:p w:rsidR="4A2D4C26" w:rsidP="4C55E1CF" w:rsidRDefault="4A2D4C26" w14:paraId="27EAF12A" w14:textId="033264DD">
      <w:pPr>
        <w:spacing w:before="240" w:beforeAutospacing="off" w:after="240" w:afterAutospacing="off"/>
      </w:pPr>
      <w:r w:rsidRPr="4C55E1CF" w:rsidR="7311231F">
        <w:rPr>
          <w:rFonts w:ascii="Roboto" w:hAnsi="Roboto" w:eastAsia="Roboto" w:cs="Roboto"/>
          <w:noProof w:val="0"/>
          <w:sz w:val="24"/>
          <w:szCs w:val="24"/>
          <w:lang w:val="de-DE"/>
        </w:rPr>
        <w:t>"Die operative GmbH überlässt der Holding GmbH überschüssige Liquiditätsmittel im Wege eines verzinslichen Darlehens gemäß § 488 BGB. Die Überlassung erfolgt täglich bis zur Höhe des jeweiligen positiven Kontosaldo der operativen GmbH. Der Zinssatz orientiert sich am 3-Monats-EURIBOR zuzüglich eines Aufschlags von [X] Prozentpunkten."</w:t>
      </w:r>
    </w:p>
    <w:p w:rsidR="4A2D4C26" w:rsidP="4C55E1CF" w:rsidRDefault="4A2D4C26" w14:paraId="18377FD1" w14:textId="79F1EF53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§ 2 Kontoführung und Saldenverrechnung</w:t>
      </w:r>
    </w:p>
    <w:p w:rsidR="4A2D4C26" w:rsidP="4C55E1CF" w:rsidRDefault="4A2D4C26" w14:paraId="3777A44F" w14:textId="2D9ECF54">
      <w:pPr>
        <w:pStyle w:val="NoSpacing"/>
      </w:pPr>
      <w:r w:rsidRPr="4C55E1CF" w:rsidR="74F16577">
        <w:rPr>
          <w:noProof w:val="0"/>
          <w:lang w:val="de-DE"/>
        </w:rPr>
        <w:t>· Tägliche Saldenverrechnung (</w:t>
      </w:r>
      <w:r w:rsidRPr="4C55E1CF" w:rsidR="74F16577">
        <w:rPr>
          <w:noProof w:val="0"/>
          <w:lang w:val="de-DE"/>
        </w:rPr>
        <w:t>physical</w:t>
      </w:r>
      <w:r w:rsidRPr="4C55E1CF" w:rsidR="74F16577">
        <w:rPr>
          <w:noProof w:val="0"/>
          <w:lang w:val="de-DE"/>
        </w:rPr>
        <w:t xml:space="preserve"> </w:t>
      </w:r>
      <w:r w:rsidRPr="4C55E1CF" w:rsidR="74F16577">
        <w:rPr>
          <w:noProof w:val="0"/>
          <w:lang w:val="de-DE"/>
        </w:rPr>
        <w:t>pooling</w:t>
      </w:r>
      <w:r w:rsidRPr="4C55E1CF" w:rsidR="74F16577">
        <w:rPr>
          <w:noProof w:val="0"/>
          <w:lang w:val="de-DE"/>
        </w:rPr>
        <w:t>)</w:t>
      </w:r>
    </w:p>
    <w:p w:rsidR="4A2D4C26" w:rsidP="4C55E1CF" w:rsidRDefault="4A2D4C26" w14:paraId="147C0245" w14:textId="30E441CD">
      <w:pPr>
        <w:pStyle w:val="NoSpacing"/>
      </w:pPr>
      <w:r w:rsidRPr="4C55E1CF" w:rsidR="74F16577">
        <w:rPr>
          <w:noProof w:val="0"/>
          <w:lang w:val="de-DE"/>
        </w:rPr>
        <w:t>· Transfer überschüssiger Mittel an Holding</w:t>
      </w:r>
    </w:p>
    <w:p w:rsidR="4A2D4C26" w:rsidP="4C55E1CF" w:rsidRDefault="4A2D4C26" w14:paraId="28DC378B" w14:textId="474CFACE">
      <w:pPr>
        <w:pStyle w:val="NoSpacing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74F16577">
        <w:rPr>
          <w:noProof w:val="0"/>
          <w:lang w:val="de-DE"/>
        </w:rPr>
        <w:t>· Jederzeitige Verfügbarkeit für operative GmbH</w:t>
      </w:r>
    </w:p>
    <w:p w:rsidR="4A2D4C26" w:rsidP="4C55E1CF" w:rsidRDefault="4A2D4C26" w14:paraId="2BE04B2A" w14:textId="1AB1591C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§ 3 Verzinsung</w:t>
      </w:r>
    </w:p>
    <w:p w:rsidR="4A2D4C26" w:rsidP="4C55E1CF" w:rsidRDefault="4A2D4C26" w14:paraId="089A938C" w14:textId="25357104">
      <w:pPr>
        <w:pStyle w:val="NoSpacing"/>
      </w:pPr>
      <w:r w:rsidRPr="4C55E1CF" w:rsidR="74F16577">
        <w:rPr>
          <w:noProof w:val="0"/>
          <w:lang w:val="de-DE"/>
        </w:rPr>
        <w:t>· Marktübliche Verzinsung gemäß Fremdvergleichsgrundsatz</w:t>
      </w:r>
    </w:p>
    <w:p w:rsidR="4A2D4C26" w:rsidP="4C55E1CF" w:rsidRDefault="4A2D4C26" w14:paraId="2860DBC9" w14:textId="300ED858">
      <w:pPr>
        <w:pStyle w:val="NoSpacing"/>
      </w:pPr>
      <w:r w:rsidRPr="4C55E1CF" w:rsidR="74F16577">
        <w:rPr>
          <w:noProof w:val="0"/>
          <w:lang w:val="de-DE"/>
        </w:rPr>
        <w:t>· Aktueller Referenzzinssatz: [</w:t>
      </w:r>
      <w:r w:rsidRPr="4C55E1CF" w:rsidR="74F16577">
        <w:rPr>
          <w:noProof w:val="0"/>
          <w:highlight w:val="lightGray"/>
          <w:lang w:val="de-DE"/>
        </w:rPr>
        <w:t>konkreter Satz</w:t>
      </w:r>
      <w:r w:rsidRPr="4C55E1CF" w:rsidR="74F16577">
        <w:rPr>
          <w:noProof w:val="0"/>
          <w:lang w:val="de-DE"/>
        </w:rPr>
        <w:t>]</w:t>
      </w:r>
    </w:p>
    <w:p w:rsidR="4A2D4C26" w:rsidP="4C55E1CF" w:rsidRDefault="4A2D4C26" w14:paraId="6A7A8868" w14:textId="33D881E4">
      <w:pPr>
        <w:pStyle w:val="NoSpacing"/>
      </w:pPr>
      <w:r w:rsidRPr="4C55E1CF" w:rsidR="74F16577">
        <w:rPr>
          <w:noProof w:val="0"/>
          <w:lang w:val="de-DE"/>
        </w:rPr>
        <w:t>· Zinsabrechnung monatlich</w:t>
      </w:r>
    </w:p>
    <w:p w:rsidR="4A2D4C26" w:rsidP="4C55E1CF" w:rsidRDefault="4A2D4C26" w14:paraId="55FF8388" w14:textId="1BF07F41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§ 4 Sicherheiten</w:t>
      </w:r>
    </w:p>
    <w:p w:rsidR="4A2D4C26" w:rsidP="4C55E1CF" w:rsidRDefault="4A2D4C26" w14:paraId="2FCB5260" w14:textId="6E50CD07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i w:val="1"/>
          <w:iCs w:val="1"/>
          <w:noProof w:val="0"/>
          <w:sz w:val="20"/>
          <w:szCs w:val="20"/>
          <w:lang w:val="de-DE"/>
        </w:rPr>
        <w:t>[Bei Bedarf: Globalzession der Forderungen der operativen GmbH]</w:t>
      </w:r>
    </w:p>
    <w:p w:rsidR="4A2D4C26" w:rsidP="4C55E1CF" w:rsidRDefault="4A2D4C26" w14:paraId="4456AD3D" w14:textId="14961F3E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4"/>
          <w:szCs w:val="24"/>
          <w:u w:val="single"/>
          <w:lang w:val="de-DE"/>
        </w:rPr>
        <w:t>§ 5 Laufzeit und Kündigung</w:t>
      </w:r>
    </w:p>
    <w:p w:rsidR="4A2D4C26" w:rsidP="4C55E1CF" w:rsidRDefault="4A2D4C26" w14:paraId="2F1ED479" w14:textId="49E678D4">
      <w:pPr>
        <w:pStyle w:val="NoSpacing"/>
      </w:pPr>
      <w:r w:rsidRPr="4C55E1CF" w:rsidR="74F16577">
        <w:rPr>
          <w:noProof w:val="0"/>
          <w:lang w:val="de-DE"/>
        </w:rPr>
        <w:t xml:space="preserve">· Unbefristete Laufzeit </w:t>
      </w:r>
    </w:p>
    <w:p w:rsidR="4A2D4C26" w:rsidP="4C55E1CF" w:rsidRDefault="4A2D4C26" w14:paraId="4E4F2ADA" w14:textId="2EFA36CA">
      <w:pPr>
        <w:pStyle w:val="NoSpacing"/>
      </w:pPr>
      <w:r w:rsidRPr="4C55E1CF" w:rsidR="74F16577">
        <w:rPr>
          <w:noProof w:val="0"/>
          <w:lang w:val="de-DE"/>
        </w:rPr>
        <w:t>·</w:t>
      </w:r>
      <w:r w:rsidRPr="4C55E1CF" w:rsidR="623F219D">
        <w:rPr>
          <w:noProof w:val="0"/>
          <w:lang w:val="de-DE"/>
        </w:rPr>
        <w:t xml:space="preserve"> </w:t>
      </w:r>
      <w:r w:rsidRPr="4C55E1CF" w:rsidR="74F16577">
        <w:rPr>
          <w:noProof w:val="0"/>
          <w:lang w:val="de-DE"/>
        </w:rPr>
        <w:t xml:space="preserve">Kündigung mit [3] Monaten Frist </w:t>
      </w:r>
    </w:p>
    <w:p w:rsidR="4A2D4C26" w:rsidP="4C55E1CF" w:rsidRDefault="4A2D4C26" w14:paraId="053834F6" w14:textId="5DC0364C">
      <w:pPr>
        <w:pStyle w:val="NoSpacing"/>
      </w:pPr>
      <w:r w:rsidRPr="4C55E1CF" w:rsidR="74F16577">
        <w:rPr>
          <w:noProof w:val="0"/>
          <w:lang w:val="de-DE"/>
        </w:rPr>
        <w:t>· Sofortige Fälligkeit bei Verstoß gegen GmbHG</w:t>
      </w:r>
    </w:p>
    <w:p w:rsidR="4A2D4C26" w:rsidP="4C55E1CF" w:rsidRDefault="4A2D4C26" w14:paraId="385589F9" w14:textId="222F4EA1">
      <w:pPr>
        <w:pStyle w:val="Normal"/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4"/>
          <w:szCs w:val="24"/>
          <w:u w:val="single"/>
          <w:lang w:val="de-DE"/>
        </w:rPr>
      </w:pPr>
    </w:p>
    <w:p w:rsidR="4A2D4C26" w:rsidP="4C55E1CF" w:rsidRDefault="4A2D4C26" w14:paraId="342DD568" w14:textId="297B8B33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</w:pPr>
    </w:p>
    <w:p w:rsidR="4A2D4C26" w:rsidP="4C55E1CF" w:rsidRDefault="4A2D4C26" w14:paraId="224EA4EF" w14:textId="1AC05650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</w:pPr>
    </w:p>
    <w:p w:rsidR="4A2D4C26" w:rsidP="4C55E1CF" w:rsidRDefault="4A2D4C26" w14:paraId="73EA41DE" w14:textId="59A946D9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</w:pPr>
    </w:p>
    <w:p w:rsidR="4A2D4C26" w:rsidP="4C55E1CF" w:rsidRDefault="4A2D4C26" w14:paraId="42113586" w14:textId="058A5321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</w:pPr>
      <w:r w:rsidRPr="4C55E1CF" w:rsidR="675D34D8"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  <w:t>Wesentliche Punkte bei der Umsetzung des Cash Pooling</w:t>
      </w:r>
    </w:p>
    <w:p w:rsidR="4A2D4C26" w:rsidP="4C55E1CF" w:rsidRDefault="4A2D4C26" w14:paraId="64C57DE4" w14:textId="49E95846">
      <w:pPr>
        <w:pStyle w:val="Normal"/>
        <w:spacing w:before="0" w:beforeAutospacing="off" w:after="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675D34D8">
        <w:rPr>
          <w:rFonts w:ascii="Roboto" w:hAnsi="Roboto" w:eastAsia="Roboto" w:cs="Roboto"/>
          <w:noProof w:val="0"/>
          <w:sz w:val="24"/>
          <w:szCs w:val="24"/>
          <w:u w:val="single"/>
          <w:lang w:val="de-DE"/>
        </w:rPr>
        <w:t>Kapitalerhaltung beachten</w:t>
      </w:r>
      <w:r w:rsidRPr="4C55E1CF" w:rsidR="675D34D8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: Keine Überlassung bei Überschuldung oder drohender                                                                    </w:t>
      </w:r>
      <w:r>
        <w:tab/>
      </w:r>
      <w:r>
        <w:tab/>
      </w:r>
      <w:r>
        <w:tab/>
      </w:r>
      <w:r>
        <w:tab/>
      </w:r>
      <w:r w:rsidRPr="4C55E1CF" w:rsidR="675D34D8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    Zahlungsunfähigkeit der operativen GmbH</w:t>
      </w:r>
    </w:p>
    <w:p w:rsidR="4A2D4C26" w:rsidP="4C55E1CF" w:rsidRDefault="4A2D4C26" w14:paraId="0893C3F8" w14:textId="4E144F2F">
      <w:pPr>
        <w:pStyle w:val="Normal"/>
        <w:spacing w:before="0" w:beforeAutospacing="off" w:after="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</w:p>
    <w:p w:rsidR="4A2D4C26" w:rsidP="4C55E1CF" w:rsidRDefault="4A2D4C26" w14:paraId="5B1DFF85" w14:textId="12D8CB8A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675D34D8">
        <w:rPr>
          <w:rFonts w:ascii="Roboto" w:hAnsi="Roboto" w:eastAsia="Roboto" w:cs="Roboto"/>
          <w:noProof w:val="0"/>
          <w:sz w:val="24"/>
          <w:szCs w:val="24"/>
          <w:u w:val="single"/>
          <w:lang w:val="de-DE"/>
        </w:rPr>
        <w:t>Dokumentation:</w:t>
      </w:r>
      <w:r w:rsidRPr="4C55E1CF" w:rsidR="675D34D8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 Lückenlose Vertragsunterlagen und Buchungen</w:t>
      </w:r>
    </w:p>
    <w:p w:rsidR="4A2D4C26" w:rsidP="4C55E1CF" w:rsidRDefault="4A2D4C26" w14:paraId="25739D18" w14:textId="2066A5D3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</w:p>
    <w:p w:rsidR="4A2D4C26" w:rsidP="4C55E1CF" w:rsidRDefault="4A2D4C26" w14:paraId="22DED770" w14:textId="09E06DBC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675D34D8">
        <w:rPr>
          <w:rFonts w:ascii="Roboto" w:hAnsi="Roboto" w:eastAsia="Roboto" w:cs="Roboto"/>
          <w:noProof w:val="0"/>
          <w:sz w:val="24"/>
          <w:szCs w:val="24"/>
          <w:u w:val="single"/>
          <w:lang w:val="de-DE"/>
        </w:rPr>
        <w:t>Zinsschranke prüfen:</w:t>
      </w:r>
      <w:r w:rsidRPr="4C55E1CF" w:rsidR="675D34D8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 Einhaltung der § 8a KStG Voraussetzungen</w:t>
      </w:r>
    </w:p>
    <w:p w:rsidR="4A2D4C26" w:rsidP="4C55E1CF" w:rsidRDefault="4A2D4C26" w14:paraId="0785356C" w14:textId="03A47797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</w:p>
    <w:p w:rsidR="4A2D4C26" w:rsidP="4C55E1CF" w:rsidRDefault="4A2D4C26" w14:paraId="3BED3145" w14:textId="7C1AD36C">
      <w:pPr>
        <w:pStyle w:val="Normal"/>
        <w:spacing w:before="0" w:beforeAutospacing="off" w:after="0" w:afterAutospacing="off"/>
        <w:ind w:left="0"/>
        <w:rPr>
          <w:rFonts w:ascii="Roboto" w:hAnsi="Roboto" w:eastAsia="Roboto" w:cs="Roboto"/>
          <w:noProof w:val="0"/>
          <w:sz w:val="24"/>
          <w:szCs w:val="24"/>
          <w:lang w:val="de-DE"/>
        </w:rPr>
      </w:pPr>
      <w:r w:rsidRPr="4C55E1CF" w:rsidR="675D34D8">
        <w:rPr>
          <w:rFonts w:ascii="Roboto" w:hAnsi="Roboto" w:eastAsia="Roboto" w:cs="Roboto"/>
          <w:noProof w:val="0"/>
          <w:sz w:val="24"/>
          <w:szCs w:val="24"/>
          <w:u w:val="single"/>
          <w:lang w:val="de-DE"/>
        </w:rPr>
        <w:t>Gesellschafterbeschluss:</w:t>
      </w:r>
      <w:r w:rsidRPr="4C55E1CF" w:rsidR="675D34D8">
        <w:rPr>
          <w:rFonts w:ascii="Roboto" w:hAnsi="Roboto" w:eastAsia="Roboto" w:cs="Roboto"/>
          <w:noProof w:val="0"/>
          <w:sz w:val="24"/>
          <w:szCs w:val="24"/>
          <w:u w:val="none"/>
          <w:lang w:val="de-DE"/>
        </w:rPr>
        <w:t xml:space="preserve"> Zustimmung der Gesellschafter einholen</w:t>
      </w:r>
    </w:p>
    <w:p w:rsidR="4A2D4C26" w:rsidP="4C55E1CF" w:rsidRDefault="4A2D4C26" w14:paraId="3A9B6210" w14:textId="6CCB7DE7">
      <w:p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</w:p>
    <w:p w:rsidR="4A2D4C26" w:rsidP="4C55E1CF" w:rsidRDefault="4A2D4C26" w14:paraId="4B2E9DE1" w14:textId="344DC9C1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color w:val="0F4761" w:themeColor="accent1" w:themeTint="FF" w:themeShade="BF"/>
          <w:sz w:val="28"/>
          <w:szCs w:val="28"/>
          <w:u w:val="none"/>
          <w:lang w:val="de-DE"/>
        </w:rPr>
        <w:t>Abschließende Empfehlung</w:t>
      </w:r>
    </w:p>
    <w:p w:rsidR="4A2D4C26" w:rsidP="4C55E1CF" w:rsidRDefault="4A2D4C26" w14:paraId="703C7021" w14:textId="456B1365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0"/>
          <w:szCs w:val="20"/>
          <w:lang w:val="de-DE"/>
        </w:rPr>
        <w:t>Lassen Sie den finalen Vertrag durch einen spezialisierten Rechtsanwalt für Gesellschaftsrecht prüfen, insbesondere im Hinblick auf:</w:t>
      </w:r>
    </w:p>
    <w:p w:rsidR="4A2D4C26" w:rsidP="4C55E1CF" w:rsidRDefault="4A2D4C26" w14:paraId="2EC4CBD3" w14:textId="7DB7EE9B">
      <w:pPr>
        <w:pStyle w:val="Normal"/>
        <w:spacing w:before="240" w:beforeAutospacing="off" w:after="240" w:afterAutospacing="off"/>
      </w:pPr>
      <w:r w:rsidRPr="4C55E1CF" w:rsidR="74F16577">
        <w:rPr>
          <w:rFonts w:ascii="Roboto" w:hAnsi="Roboto" w:eastAsia="Roboto" w:cs="Roboto"/>
          <w:noProof w:val="0"/>
          <w:sz w:val="24"/>
          <w:szCs w:val="24"/>
          <w:lang w:val="de-DE"/>
        </w:rPr>
        <w:t>· Einhaltung des GmbH-Rechts</w:t>
      </w:r>
    </w:p>
    <w:p w:rsidR="4A2D4C26" w:rsidP="4C55E1CF" w:rsidRDefault="4A2D4C26" w14:paraId="19C4F287" w14:textId="33F62993">
      <w:pPr>
        <w:pStyle w:val="Normal"/>
        <w:spacing w:before="240" w:beforeAutospacing="off" w:after="240" w:afterAutospacing="off"/>
      </w:pPr>
      <w:r w:rsidRPr="4C55E1CF" w:rsidR="74F16577">
        <w:rPr>
          <w:rFonts w:ascii="Roboto" w:hAnsi="Roboto" w:eastAsia="Roboto" w:cs="Roboto"/>
          <w:noProof w:val="0"/>
          <w:sz w:val="24"/>
          <w:szCs w:val="24"/>
          <w:lang w:val="de-DE"/>
        </w:rPr>
        <w:t xml:space="preserve">· </w:t>
      </w:r>
      <w:r w:rsidRPr="4C55E1CF" w:rsidR="74F16577">
        <w:rPr>
          <w:rFonts w:ascii="Roboto" w:hAnsi="Roboto" w:eastAsia="Roboto" w:cs="Roboto"/>
          <w:noProof w:val="0"/>
          <w:sz w:val="24"/>
          <w:szCs w:val="24"/>
          <w:lang w:val="de-DE"/>
        </w:rPr>
        <w:t>Steuerliche Anerkennung</w:t>
      </w:r>
    </w:p>
    <w:p w:rsidR="4A2D4C26" w:rsidP="4C55E1CF" w:rsidRDefault="4A2D4C26" w14:paraId="39F3E9F2" w14:textId="63499756">
      <w:pPr>
        <w:pStyle w:val="Normal"/>
        <w:spacing w:before="240" w:beforeAutospacing="off" w:after="240" w:afterAutospacing="off"/>
      </w:pPr>
      <w:r w:rsidRPr="4C55E1CF" w:rsidR="74F16577">
        <w:rPr>
          <w:rFonts w:ascii="Roboto" w:hAnsi="Roboto" w:eastAsia="Roboto" w:cs="Roboto"/>
          <w:noProof w:val="0"/>
          <w:sz w:val="24"/>
          <w:szCs w:val="24"/>
          <w:lang w:val="de-DE"/>
        </w:rPr>
        <w:t>· Gesellschaftsrechtliche Zustimmungen</w:t>
      </w:r>
    </w:p>
    <w:p w:rsidR="4A2D4C26" w:rsidP="4C55E1CF" w:rsidRDefault="4A2D4C26" w14:paraId="674B284E" w14:textId="7BB5DDBB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de-DE"/>
        </w:rPr>
      </w:pPr>
      <w:r w:rsidRPr="4C55E1CF" w:rsidR="74F16577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de-DE"/>
        </w:rPr>
        <w:t>Bei fachkundiger Umsetzung bietet Cash Pooling eine hervorragende Möglichkeit, unterjährige Gewinntransfers rechtssicher und steueroptimiert durchzuführen</w:t>
      </w:r>
      <w:r w:rsidRPr="4C55E1CF" w:rsidR="57C7F125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de-DE"/>
        </w:rPr>
        <w:t>!</w:t>
      </w:r>
    </w:p>
    <w:p w:rsidR="4A2D4C26" w:rsidP="4C55E1CF" w:rsidRDefault="4A2D4C26" w14:paraId="3FFC001D" w14:textId="7AA3E18C">
      <w:pPr>
        <w:spacing w:before="240" w:beforeAutospacing="off" w:after="240" w:afterAutospacing="off"/>
        <w:rPr>
          <w:rFonts w:ascii="Roboto" w:hAnsi="Roboto" w:eastAsia="Roboto" w:cs="Roboto"/>
          <w:b w:val="1"/>
          <w:bCs w:val="1"/>
          <w:i w:val="1"/>
          <w:iCs w:val="1"/>
          <w:noProof w:val="0"/>
          <w:color w:val="0F4761" w:themeColor="accent1" w:themeTint="FF" w:themeShade="BF"/>
          <w:sz w:val="24"/>
          <w:szCs w:val="24"/>
          <w:u w:val="single"/>
          <w:lang w:val="de-DE"/>
        </w:rPr>
      </w:pPr>
    </w:p>
    <w:p w:rsidR="4A2D4C26" w:rsidP="4C55E1CF" w:rsidRDefault="4A2D4C26" w14:paraId="4ED3D762" w14:textId="2A056102">
      <w:pPr/>
    </w:p>
    <w:p w:rsidR="4A2D4C26" w:rsidP="4C55E1CF" w:rsidRDefault="4A2D4C26" w14:paraId="3F40BC3D" w14:textId="4E232627">
      <w:pPr>
        <w:spacing w:before="240" w:beforeAutospacing="off" w:after="240" w:afterAutospacing="off"/>
      </w:pPr>
      <w:r w:rsidRPr="4C55E1CF" w:rsidR="57C7F125">
        <w:rPr>
          <w:rFonts w:ascii="Roboto" w:hAnsi="Roboto" w:eastAsia="Roboto" w:cs="Roboto"/>
          <w:b w:val="1"/>
          <w:bCs w:val="1"/>
          <w:noProof w:val="0"/>
          <w:color w:val="auto"/>
          <w:sz w:val="24"/>
          <w:szCs w:val="24"/>
          <w:u w:val="single"/>
          <w:lang w:val="de-DE"/>
        </w:rPr>
        <w:t xml:space="preserve">Rechtlicher </w:t>
      </w:r>
      <w:r w:rsidRPr="4C55E1CF" w:rsidR="74F16577">
        <w:rPr>
          <w:rFonts w:ascii="Roboto" w:hAnsi="Roboto" w:eastAsia="Roboto" w:cs="Roboto"/>
          <w:b w:val="1"/>
          <w:bCs w:val="1"/>
          <w:noProof w:val="0"/>
          <w:color w:val="auto"/>
          <w:sz w:val="24"/>
          <w:szCs w:val="24"/>
          <w:u w:val="single"/>
          <w:lang w:val="de-DE"/>
        </w:rPr>
        <w:t xml:space="preserve">Hinweis: </w:t>
      </w:r>
      <w:r w:rsidRPr="4C55E1CF" w:rsidR="74F16577">
        <w:rPr>
          <w:rFonts w:ascii="Roboto" w:hAnsi="Roboto" w:eastAsia="Roboto" w:cs="Roboto"/>
          <w:noProof w:val="0"/>
          <w:sz w:val="24"/>
          <w:szCs w:val="24"/>
          <w:lang w:val="de-DE"/>
        </w:rPr>
        <w:t>Dies stellt eine erste Einschätzung dar und ersetzt keine individuelle Rechtsberatung. Die konkrete Vertragsgestaltung sollte mit einem Fachanwalt erfolgen.</w:t>
      </w:r>
    </w:p>
    <w:p w:rsidR="4A2D4C26" w:rsidP="4C55E1CF" w:rsidRDefault="4A2D4C26" w14:paraId="44D80260" w14:textId="3D629CD8">
      <w:p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de-DE"/>
        </w:rPr>
      </w:pPr>
    </w:p>
    <w:p w:rsidR="4A2D4C26" w:rsidP="4C55E1CF" w:rsidRDefault="4A2D4C26" w14:paraId="6D819A33" w14:textId="2096313E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de-DE"/>
        </w:rPr>
      </w:pPr>
    </w:p>
    <w:sectPr>
      <w:pgSz w:w="11906" w:h="16838" w:orient="portrait"/>
      <w:pgMar w:top="567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5">
    <w:nsid w:val="4c155a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4">
    <w:nsid w:val="4e67b28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33250091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">
    <w:nsid w:val="74c936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803586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6b33200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1cbb1d4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64a89b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2ab59ea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71a883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eb169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125917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108fd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f3773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6b688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1C9AA6"/>
    <w:rsid w:val="000D1152"/>
    <w:rsid w:val="0030AB65"/>
    <w:rsid w:val="0136C6C6"/>
    <w:rsid w:val="018503DE"/>
    <w:rsid w:val="018B2FBD"/>
    <w:rsid w:val="025B9DC8"/>
    <w:rsid w:val="026FBFBD"/>
    <w:rsid w:val="02DAB742"/>
    <w:rsid w:val="02E15F5E"/>
    <w:rsid w:val="03C1A4E8"/>
    <w:rsid w:val="03F8A88C"/>
    <w:rsid w:val="041F7FC2"/>
    <w:rsid w:val="05BF6537"/>
    <w:rsid w:val="0680F9A9"/>
    <w:rsid w:val="079BDED1"/>
    <w:rsid w:val="08B6DADD"/>
    <w:rsid w:val="08F8F186"/>
    <w:rsid w:val="0A2FC942"/>
    <w:rsid w:val="0A854C69"/>
    <w:rsid w:val="0B464C48"/>
    <w:rsid w:val="0B63B565"/>
    <w:rsid w:val="0BA77393"/>
    <w:rsid w:val="0BBD7367"/>
    <w:rsid w:val="0C5248D4"/>
    <w:rsid w:val="0D62DCBB"/>
    <w:rsid w:val="0D62DCBB"/>
    <w:rsid w:val="0DBA7289"/>
    <w:rsid w:val="0DBEABAA"/>
    <w:rsid w:val="0E505037"/>
    <w:rsid w:val="0EB33884"/>
    <w:rsid w:val="0F059797"/>
    <w:rsid w:val="0F0DDE71"/>
    <w:rsid w:val="0F395B88"/>
    <w:rsid w:val="0F7C1FDC"/>
    <w:rsid w:val="10661AD0"/>
    <w:rsid w:val="115B8B8A"/>
    <w:rsid w:val="11842867"/>
    <w:rsid w:val="118C55BC"/>
    <w:rsid w:val="12225F59"/>
    <w:rsid w:val="143068FF"/>
    <w:rsid w:val="1430CC2E"/>
    <w:rsid w:val="1489BD87"/>
    <w:rsid w:val="14E19955"/>
    <w:rsid w:val="15611BDB"/>
    <w:rsid w:val="16239AD6"/>
    <w:rsid w:val="16A53367"/>
    <w:rsid w:val="16DD0C09"/>
    <w:rsid w:val="16E1349A"/>
    <w:rsid w:val="16E1349A"/>
    <w:rsid w:val="17D10CA9"/>
    <w:rsid w:val="1820E9A7"/>
    <w:rsid w:val="188F1B0F"/>
    <w:rsid w:val="188F1B0F"/>
    <w:rsid w:val="18B3AF77"/>
    <w:rsid w:val="1A14246D"/>
    <w:rsid w:val="1A65CBB1"/>
    <w:rsid w:val="1A90330D"/>
    <w:rsid w:val="1B191D9A"/>
    <w:rsid w:val="1B7FABF7"/>
    <w:rsid w:val="1B8B8CBF"/>
    <w:rsid w:val="1BA9DBB0"/>
    <w:rsid w:val="1BB2C792"/>
    <w:rsid w:val="1C4DC483"/>
    <w:rsid w:val="1C8768C9"/>
    <w:rsid w:val="1DC897EF"/>
    <w:rsid w:val="1E7B41F8"/>
    <w:rsid w:val="1EA2F525"/>
    <w:rsid w:val="1EA2F525"/>
    <w:rsid w:val="1EDAD4EB"/>
    <w:rsid w:val="1F47A37D"/>
    <w:rsid w:val="20309FC6"/>
    <w:rsid w:val="2097EB39"/>
    <w:rsid w:val="213840F7"/>
    <w:rsid w:val="24800B7F"/>
    <w:rsid w:val="24852458"/>
    <w:rsid w:val="24852458"/>
    <w:rsid w:val="24ED5958"/>
    <w:rsid w:val="2593BF47"/>
    <w:rsid w:val="25F46C46"/>
    <w:rsid w:val="26B4B8CA"/>
    <w:rsid w:val="27620A50"/>
    <w:rsid w:val="2787971A"/>
    <w:rsid w:val="2787971A"/>
    <w:rsid w:val="27C19D96"/>
    <w:rsid w:val="28554F7F"/>
    <w:rsid w:val="28805DCB"/>
    <w:rsid w:val="28C1FDAF"/>
    <w:rsid w:val="29EBA85E"/>
    <w:rsid w:val="2A5C8CC7"/>
    <w:rsid w:val="2AC7E6D9"/>
    <w:rsid w:val="2ADE5331"/>
    <w:rsid w:val="2B49D1DB"/>
    <w:rsid w:val="2BCB8D07"/>
    <w:rsid w:val="2D0E95F8"/>
    <w:rsid w:val="2D60596A"/>
    <w:rsid w:val="2D99AF88"/>
    <w:rsid w:val="2E37C195"/>
    <w:rsid w:val="2E77F2C6"/>
    <w:rsid w:val="2E77F2C6"/>
    <w:rsid w:val="2EE211EB"/>
    <w:rsid w:val="2FB6A6C8"/>
    <w:rsid w:val="311873F2"/>
    <w:rsid w:val="31528013"/>
    <w:rsid w:val="31E64EA6"/>
    <w:rsid w:val="31E87E82"/>
    <w:rsid w:val="326BE558"/>
    <w:rsid w:val="335143C2"/>
    <w:rsid w:val="341740D1"/>
    <w:rsid w:val="346651EA"/>
    <w:rsid w:val="351DE981"/>
    <w:rsid w:val="365D5C46"/>
    <w:rsid w:val="36BE6686"/>
    <w:rsid w:val="382FF0F2"/>
    <w:rsid w:val="38728F8D"/>
    <w:rsid w:val="3884A6E8"/>
    <w:rsid w:val="390270A5"/>
    <w:rsid w:val="39091310"/>
    <w:rsid w:val="39EB574F"/>
    <w:rsid w:val="3A4B47B6"/>
    <w:rsid w:val="3AD4779F"/>
    <w:rsid w:val="3B8054E2"/>
    <w:rsid w:val="3BF5B65B"/>
    <w:rsid w:val="3C33BAEB"/>
    <w:rsid w:val="3C636660"/>
    <w:rsid w:val="3C97087B"/>
    <w:rsid w:val="3D8C98A0"/>
    <w:rsid w:val="3EBB8CE3"/>
    <w:rsid w:val="3EF99A13"/>
    <w:rsid w:val="3F1BF2B4"/>
    <w:rsid w:val="3FC05EB8"/>
    <w:rsid w:val="3FC21704"/>
    <w:rsid w:val="3FD8499B"/>
    <w:rsid w:val="40ACB555"/>
    <w:rsid w:val="417C0CBD"/>
    <w:rsid w:val="41DFE41A"/>
    <w:rsid w:val="4307C3A2"/>
    <w:rsid w:val="43457128"/>
    <w:rsid w:val="43457128"/>
    <w:rsid w:val="43A428D3"/>
    <w:rsid w:val="43BA088F"/>
    <w:rsid w:val="448E1F37"/>
    <w:rsid w:val="44CB0146"/>
    <w:rsid w:val="451374FF"/>
    <w:rsid w:val="45304A1B"/>
    <w:rsid w:val="4572B9B3"/>
    <w:rsid w:val="45E30957"/>
    <w:rsid w:val="467508F3"/>
    <w:rsid w:val="473FC3BE"/>
    <w:rsid w:val="47E4ABC5"/>
    <w:rsid w:val="47F77D81"/>
    <w:rsid w:val="48A7E986"/>
    <w:rsid w:val="49833B2F"/>
    <w:rsid w:val="4995B813"/>
    <w:rsid w:val="49F6DD3C"/>
    <w:rsid w:val="4A2D4C26"/>
    <w:rsid w:val="4AB1057E"/>
    <w:rsid w:val="4ACD8578"/>
    <w:rsid w:val="4C55E1CF"/>
    <w:rsid w:val="4D4C94C9"/>
    <w:rsid w:val="4D980468"/>
    <w:rsid w:val="4DAE184E"/>
    <w:rsid w:val="4ED4173B"/>
    <w:rsid w:val="4F1461F7"/>
    <w:rsid w:val="4F88402B"/>
    <w:rsid w:val="4FB1AEF2"/>
    <w:rsid w:val="502D1C5D"/>
    <w:rsid w:val="50F42C0C"/>
    <w:rsid w:val="511C9AA6"/>
    <w:rsid w:val="5164D1A3"/>
    <w:rsid w:val="519BEAC5"/>
    <w:rsid w:val="520DBBFB"/>
    <w:rsid w:val="522029FA"/>
    <w:rsid w:val="522029FA"/>
    <w:rsid w:val="522736A0"/>
    <w:rsid w:val="523E2AD4"/>
    <w:rsid w:val="5253E503"/>
    <w:rsid w:val="526CC524"/>
    <w:rsid w:val="5311D1A7"/>
    <w:rsid w:val="532179A3"/>
    <w:rsid w:val="5446B0B6"/>
    <w:rsid w:val="54AE80AC"/>
    <w:rsid w:val="567EAE18"/>
    <w:rsid w:val="568B7E94"/>
    <w:rsid w:val="57BD8A2C"/>
    <w:rsid w:val="57C7F125"/>
    <w:rsid w:val="5A1D32A7"/>
    <w:rsid w:val="5A653107"/>
    <w:rsid w:val="5A80B9F6"/>
    <w:rsid w:val="5AB5971E"/>
    <w:rsid w:val="5AB6C799"/>
    <w:rsid w:val="5AE32ABA"/>
    <w:rsid w:val="5B40D47E"/>
    <w:rsid w:val="5B813C9F"/>
    <w:rsid w:val="5B96CE47"/>
    <w:rsid w:val="5E5E3EFB"/>
    <w:rsid w:val="5F201BB1"/>
    <w:rsid w:val="5F201BB1"/>
    <w:rsid w:val="5F391228"/>
    <w:rsid w:val="5FFEFAD6"/>
    <w:rsid w:val="5FFEFAD6"/>
    <w:rsid w:val="6094F24A"/>
    <w:rsid w:val="60A5DCAC"/>
    <w:rsid w:val="60EAB26E"/>
    <w:rsid w:val="60EAB26E"/>
    <w:rsid w:val="6122F642"/>
    <w:rsid w:val="61BB8204"/>
    <w:rsid w:val="61BBCA8E"/>
    <w:rsid w:val="622BC68F"/>
    <w:rsid w:val="623F219D"/>
    <w:rsid w:val="63014C26"/>
    <w:rsid w:val="64703E97"/>
    <w:rsid w:val="64951B6A"/>
    <w:rsid w:val="65428400"/>
    <w:rsid w:val="65F498CE"/>
    <w:rsid w:val="66CBF734"/>
    <w:rsid w:val="675D34D8"/>
    <w:rsid w:val="678D8C07"/>
    <w:rsid w:val="6832407E"/>
    <w:rsid w:val="68B5F4C8"/>
    <w:rsid w:val="69B5A273"/>
    <w:rsid w:val="6A367065"/>
    <w:rsid w:val="6A978766"/>
    <w:rsid w:val="6AE1CE26"/>
    <w:rsid w:val="6C0C897E"/>
    <w:rsid w:val="6DDEB74B"/>
    <w:rsid w:val="71029FBF"/>
    <w:rsid w:val="718531FC"/>
    <w:rsid w:val="7188B7E0"/>
    <w:rsid w:val="71BE809A"/>
    <w:rsid w:val="72AE284A"/>
    <w:rsid w:val="72B10167"/>
    <w:rsid w:val="72CC087A"/>
    <w:rsid w:val="72CC087A"/>
    <w:rsid w:val="7311231F"/>
    <w:rsid w:val="734C7824"/>
    <w:rsid w:val="7386C3F8"/>
    <w:rsid w:val="74118B52"/>
    <w:rsid w:val="748A706D"/>
    <w:rsid w:val="748A706D"/>
    <w:rsid w:val="74BAD6D8"/>
    <w:rsid w:val="74C52AC2"/>
    <w:rsid w:val="74D04297"/>
    <w:rsid w:val="74DC7B15"/>
    <w:rsid w:val="74F16577"/>
    <w:rsid w:val="7733D4F1"/>
    <w:rsid w:val="795446CC"/>
    <w:rsid w:val="7A76FA32"/>
    <w:rsid w:val="7A84ED5B"/>
    <w:rsid w:val="7A8E2E56"/>
    <w:rsid w:val="7C406E34"/>
    <w:rsid w:val="7C406E34"/>
    <w:rsid w:val="7CD0BCFF"/>
    <w:rsid w:val="7DB0FEC0"/>
    <w:rsid w:val="7F624B42"/>
    <w:rsid w:val="7F67E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C9AA6"/>
  <w15:chartTrackingRefBased/>
  <w15:docId w15:val="{CC674021-1B7B-4B47-B9D3-6C1039E4F4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4A2D4C26"/>
    <w:pPr>
      <w:spacing/>
      <w:ind w:left="720"/>
      <w:contextualSpacing/>
    </w:pPr>
  </w:style>
  <w:style w:type="paragraph" w:styleId="Heading3">
    <w:uiPriority w:val="9"/>
    <w:name w:val="heading 3"/>
    <w:basedOn w:val="Normal"/>
    <w:next w:val="Normal"/>
    <w:unhideWhenUsed/>
    <w:qFormat/>
    <w:rsid w:val="4A2D4C26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character" w:styleId="Hyperlink">
    <w:uiPriority w:val="99"/>
    <w:name w:val="Hyperlink"/>
    <w:basedOn w:val="DefaultParagraphFont"/>
    <w:unhideWhenUsed/>
    <w:rsid w:val="4A2D4C26"/>
    <w:rPr>
      <w:color w:val="467886"/>
      <w:u w:val="single"/>
    </w:rPr>
  </w:style>
  <w:style w:type="paragraph" w:styleId="Heading4">
    <w:uiPriority w:val="9"/>
    <w:name w:val="heading 4"/>
    <w:basedOn w:val="Normal"/>
    <w:next w:val="Normal"/>
    <w:unhideWhenUsed/>
    <w:qFormat/>
    <w:rsid w:val="4A2D4C26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NoSpacing">
    <w:uiPriority w:val="1"/>
    <w:name w:val="No Spacing"/>
    <w:qFormat/>
    <w:rsid w:val="4C55E1CF"/>
    <w:rPr>
      <w:noProof w:val="0"/>
    </w:rPr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794474960" /><Relationship Type="http://schemas.openxmlformats.org/officeDocument/2006/relationships/numbering" Target="numbering.xml" Id="Rdbdd6572e09847d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2025-12-04T12:41:40.8200382Z</dcterms:created>
  <dcterms:modified xsi:type="dcterms:W3CDTF">2025-12-04T17:02:54.9320055Z</dcterms:modified>
  <dc:creator>Dietmar Vogel</dc:creator>
  <lastModifiedBy>Dietmar Vogel</lastModifiedBy>
</coreProperties>
</file>